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F83B6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Контрольно-счетная комиссия</w:t>
      </w:r>
    </w:p>
    <w:p w14:paraId="4D4F307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Богородского муниципального округа Нижегородской области</w:t>
      </w:r>
    </w:p>
    <w:p w14:paraId="65E812D6">
      <w:p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47938BC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Заключение</w:t>
      </w:r>
    </w:p>
    <w:p w14:paraId="624A72C1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на проект решения Совета депутатов Богородского муниципального округа Нижегородской области «О внесении изменений в решение Совета депутатов Богородского муниципального округа Нижегородской области от 11.12.2025 № 148 «О бюджете Богородского муниципального округа Нижегородской области на 2026 год и на плановый период 2027 и 2028 годов»»</w:t>
      </w:r>
    </w:p>
    <w:p w14:paraId="5CB3BF33">
      <w:pPr>
        <w:shd w:val="clear" w:color="auto" w:fill="FFFFFF"/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Контрольно-счетной комиссией Богородского муниципального округа в соответствии с Бюджетным кодексом РФ, Федеральным законом </w:t>
      </w:r>
      <w:r>
        <w:rPr>
          <w:rFonts w:ascii="Times New Roman" w:hAnsi="Times New Roman"/>
          <w:color w:val="000000"/>
          <w:sz w:val="26"/>
          <w:szCs w:val="26"/>
        </w:rPr>
        <w:t xml:space="preserve">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</w:t>
      </w:r>
      <w:r>
        <w:rPr>
          <w:rFonts w:ascii="Times New Roman" w:hAnsi="Times New Roman"/>
          <w:sz w:val="26"/>
          <w:szCs w:val="26"/>
        </w:rPr>
        <w:t>решением Совета депутатов Богородского муниципального округа Нижегородской области</w:t>
      </w:r>
      <w:r>
        <w:rPr>
          <w:rFonts w:ascii="Times New Roman" w:hAnsi="Times New Roman"/>
          <w:color w:val="000000"/>
          <w:sz w:val="26"/>
          <w:szCs w:val="26"/>
        </w:rPr>
        <w:t xml:space="preserve"> от 09.10.2020 № 26 «</w:t>
      </w:r>
      <w:r>
        <w:rPr>
          <w:rFonts w:ascii="Times New Roman" w:hAnsi="Times New Roman"/>
          <w:bCs/>
          <w:sz w:val="26"/>
          <w:szCs w:val="26"/>
        </w:rPr>
        <w:t>Об утверждении Положения о бюджетном процессе в Богородском муниципальном округе Нижегородской области»,</w:t>
      </w:r>
      <w:r>
        <w:rPr>
          <w:rFonts w:ascii="Times New Roman" w:hAnsi="Times New Roman"/>
          <w:sz w:val="26"/>
          <w:szCs w:val="26"/>
        </w:rPr>
        <w:t xml:space="preserve"> Положением о контрольно-счетной комиссии Богородского муниципального округа Нижегородской области, утвержденным решением Совета депутатов Богородского муниципального округа Нижегородской области от 16.12.2021 № 203 проведена экспертиза проекта решения Совета депутатов Богородского муниципального округа Нижегородской области «О внесении изменений в решение Совета депутатов Богородского муниципального округа Нижегородской области от 11.12.2025 № 148 «</w:t>
      </w:r>
      <w:r>
        <w:rPr>
          <w:rFonts w:ascii="Times New Roman" w:hAnsi="Times New Roman"/>
          <w:color w:val="000000"/>
          <w:sz w:val="26"/>
          <w:szCs w:val="26"/>
        </w:rPr>
        <w:t>О бюджете Богородского муниципального округа Нижегородской области на 2026 год и на плановый период 2027 и 2028 годов</w:t>
      </w:r>
      <w:r>
        <w:rPr>
          <w:rFonts w:ascii="Times New Roman" w:hAnsi="Times New Roman"/>
          <w:sz w:val="26"/>
          <w:szCs w:val="26"/>
        </w:rPr>
        <w:t>»» (далее – проект решения).</w:t>
      </w:r>
    </w:p>
    <w:p w14:paraId="654385C3">
      <w:pPr>
        <w:pStyle w:val="188"/>
        <w:numPr>
          <w:ilvl w:val="0"/>
          <w:numId w:val="1"/>
        </w:numPr>
        <w:shd w:val="clear" w:color="auto" w:fill="FFFFFF"/>
        <w:spacing w:line="240" w:lineRule="auto"/>
        <w:ind w:left="0" w:firstLine="36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Изменения основных характеристик бюджета Богородского муниципального округа Нижегородской области на 2026 год и на плановый период 2027 и 2028 годов.</w:t>
      </w:r>
    </w:p>
    <w:p w14:paraId="5EC00ABB">
      <w:pPr>
        <w:pStyle w:val="188"/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Согласно материалам к проекту решения в основные характеристики местного бюджета на 2026 год и плановый период 2027 и 2028 годов, утвержденные решением Совета депутатов Богородского муниципального округа Нижегородской области от 11.12.2025 № 148 «</w:t>
      </w:r>
      <w:r>
        <w:rPr>
          <w:rFonts w:ascii="Times New Roman" w:hAnsi="Times New Roman"/>
          <w:color w:val="000000"/>
          <w:sz w:val="26"/>
          <w:szCs w:val="26"/>
        </w:rPr>
        <w:t>О бюджете Богородского муниципального округа Нижегородской области на 2026 год и на плановый период 2027 и 2028 годов</w:t>
      </w:r>
      <w:r>
        <w:rPr>
          <w:rFonts w:ascii="Times New Roman" w:hAnsi="Times New Roman"/>
          <w:sz w:val="26"/>
          <w:szCs w:val="26"/>
        </w:rPr>
        <w:t>» (далее – решение от 11.12.2025 № 148), предлагается внести следующие изменения:</w:t>
      </w:r>
    </w:p>
    <w:p w14:paraId="0D3A0BBC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тыс. рублей</w:t>
      </w:r>
    </w:p>
    <w:tbl>
      <w:tblPr>
        <w:tblStyle w:val="22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9"/>
        <w:gridCol w:w="2268"/>
        <w:gridCol w:w="1376"/>
        <w:gridCol w:w="1884"/>
        <w:gridCol w:w="1145"/>
      </w:tblGrid>
      <w:tr w14:paraId="308CB9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2609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EFCB6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268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C7079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Решение от 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>11</w:t>
            </w:r>
            <w:r>
              <w:rPr>
                <w:rFonts w:ascii="Times New Roman" w:hAnsi="Times New Roman"/>
                <w:sz w:val="20"/>
                <w:szCs w:val="20"/>
              </w:rPr>
              <w:t>.12.2025 № 1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>48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(в редакции решения от 19.0</w:t>
            </w:r>
            <w:r>
              <w:rPr>
                <w:rFonts w:hint="default" w:ascii="Times New Roman" w:hAnsi="Times New Roman"/>
                <w:bCs/>
                <w:sz w:val="18"/>
                <w:szCs w:val="18"/>
                <w:lang w:val="ru-RU"/>
              </w:rPr>
              <w:t>2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.202</w:t>
            </w:r>
            <w:r>
              <w:rPr>
                <w:rFonts w:hint="default" w:ascii="Times New Roman" w:hAnsi="Times New Roman"/>
                <w:bCs/>
                <w:sz w:val="18"/>
                <w:szCs w:val="18"/>
                <w:lang w:val="ru-RU"/>
              </w:rPr>
              <w:t>6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№ </w:t>
            </w:r>
            <w:r>
              <w:rPr>
                <w:rFonts w:hint="default" w:ascii="Times New Roman" w:hAnsi="Times New Roman"/>
                <w:bCs/>
                <w:sz w:val="18"/>
                <w:szCs w:val="18"/>
                <w:lang w:val="ru-RU"/>
              </w:rPr>
              <w:t>8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376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F96F9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 решения</w:t>
            </w:r>
          </w:p>
        </w:tc>
        <w:tc>
          <w:tcPr>
            <w:tcW w:w="1884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596BA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Изменения к утвержденному решению</w:t>
            </w:r>
          </w:p>
        </w:tc>
        <w:tc>
          <w:tcPr>
            <w:tcW w:w="1145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48A2A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 изменения</w:t>
            </w:r>
          </w:p>
        </w:tc>
      </w:tr>
      <w:tr w14:paraId="06C8E6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2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4A700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2026 год</w:t>
            </w:r>
          </w:p>
        </w:tc>
      </w:tr>
      <w:tr w14:paraId="1707D9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609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21B2C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val="en-US" w:eastAsia="zh-CN"/>
              </w:rPr>
              <w:t>Всего доходов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79F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702 627,98 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8E31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737 984,74 </w:t>
            </w:r>
          </w:p>
        </w:tc>
        <w:tc>
          <w:tcPr>
            <w:tcW w:w="1884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8A5CCF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35 356,76 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6B0A39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1,0 </w:t>
            </w:r>
          </w:p>
        </w:tc>
      </w:tr>
      <w:tr w14:paraId="01FF3E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9586F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val="en-US" w:eastAsia="zh-CN"/>
              </w:rPr>
              <w:t>Всего расходов</w:t>
            </w:r>
          </w:p>
        </w:tc>
        <w:tc>
          <w:tcPr>
            <w:tcW w:w="22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48B3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893 580,93 </w:t>
            </w:r>
          </w:p>
        </w:tc>
        <w:tc>
          <w:tcPr>
            <w:tcW w:w="13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FEDA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990 189,96 </w:t>
            </w:r>
          </w:p>
        </w:tc>
        <w:tc>
          <w:tcPr>
            <w:tcW w:w="18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2E8B52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96 609,03 </w:t>
            </w:r>
          </w:p>
        </w:tc>
        <w:tc>
          <w:tcPr>
            <w:tcW w:w="11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7C0F05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2,5 </w:t>
            </w:r>
          </w:p>
        </w:tc>
      </w:tr>
      <w:tr w14:paraId="6FFD3A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3CF4F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val="en-US" w:eastAsia="zh-CN"/>
              </w:rPr>
              <w:t>Дефицит (-), профицит (+)</w:t>
            </w:r>
          </w:p>
        </w:tc>
        <w:tc>
          <w:tcPr>
            <w:tcW w:w="22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F16E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-190 952,95 </w:t>
            </w:r>
          </w:p>
        </w:tc>
        <w:tc>
          <w:tcPr>
            <w:tcW w:w="13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2F82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-252 205,22 </w:t>
            </w:r>
          </w:p>
        </w:tc>
        <w:tc>
          <w:tcPr>
            <w:tcW w:w="18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E96C1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-61 252,27 </w:t>
            </w:r>
          </w:p>
        </w:tc>
        <w:tc>
          <w:tcPr>
            <w:tcW w:w="11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C4E36A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32,1 </w:t>
            </w:r>
          </w:p>
        </w:tc>
      </w:tr>
      <w:tr w14:paraId="78D8F4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82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78F9B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SimSun"/>
                <w:b/>
                <w:bCs/>
                <w:color w:val="000000"/>
                <w:sz w:val="20"/>
                <w:szCs w:val="20"/>
                <w:lang w:val="en-US" w:eastAsia="zh-CN"/>
              </w:rPr>
              <w:t>202</w:t>
            </w:r>
            <w:r>
              <w:rPr>
                <w:rFonts w:ascii="Times New Roman" w:hAnsi="Times New Roman" w:eastAsia="SimSun"/>
                <w:b/>
                <w:bCs/>
                <w:color w:val="000000"/>
                <w:sz w:val="20"/>
                <w:szCs w:val="20"/>
                <w:lang w:eastAsia="zh-CN"/>
              </w:rPr>
              <w:t>7</w:t>
            </w:r>
            <w:r>
              <w:rPr>
                <w:rFonts w:ascii="Times New Roman" w:hAnsi="Times New Roman" w:eastAsia="SimSun"/>
                <w:b/>
                <w:bCs/>
                <w:color w:val="000000"/>
                <w:sz w:val="20"/>
                <w:szCs w:val="20"/>
                <w:lang w:val="en-US" w:eastAsia="zh-CN"/>
              </w:rPr>
              <w:t xml:space="preserve"> год</w:t>
            </w:r>
          </w:p>
        </w:tc>
      </w:tr>
      <w:tr w14:paraId="630FFF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BD7CF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val="en-US" w:eastAsia="zh-CN"/>
              </w:rPr>
              <w:t>Всего доходов</w:t>
            </w:r>
          </w:p>
        </w:tc>
        <w:tc>
          <w:tcPr>
            <w:tcW w:w="22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B895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373 333,42 </w:t>
            </w:r>
          </w:p>
        </w:tc>
        <w:tc>
          <w:tcPr>
            <w:tcW w:w="13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CB4E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373 706,02 </w:t>
            </w:r>
          </w:p>
        </w:tc>
        <w:tc>
          <w:tcPr>
            <w:tcW w:w="18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C195AE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372,60 </w:t>
            </w:r>
          </w:p>
        </w:tc>
        <w:tc>
          <w:tcPr>
            <w:tcW w:w="11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C2F2ED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  <w:tr w14:paraId="3D2E64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7D4E9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val="en-US" w:eastAsia="zh-CN"/>
              </w:rPr>
              <w:t>Всего расходов</w:t>
            </w:r>
          </w:p>
        </w:tc>
        <w:tc>
          <w:tcPr>
            <w:tcW w:w="22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1474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353 333,42 </w:t>
            </w:r>
          </w:p>
        </w:tc>
        <w:tc>
          <w:tcPr>
            <w:tcW w:w="13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65FA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353 706,02 </w:t>
            </w:r>
          </w:p>
        </w:tc>
        <w:tc>
          <w:tcPr>
            <w:tcW w:w="18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D278DF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372,60 </w:t>
            </w:r>
          </w:p>
        </w:tc>
        <w:tc>
          <w:tcPr>
            <w:tcW w:w="11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6D54A5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  <w:tr w14:paraId="5283D8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83DBF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val="en-US" w:eastAsia="zh-CN"/>
              </w:rPr>
              <w:t>Дефицит (+), профицит (-)</w:t>
            </w:r>
          </w:p>
        </w:tc>
        <w:tc>
          <w:tcPr>
            <w:tcW w:w="22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336524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20 000,00 </w:t>
            </w:r>
          </w:p>
        </w:tc>
        <w:tc>
          <w:tcPr>
            <w:tcW w:w="13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19F5D8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20 000,00 </w:t>
            </w:r>
          </w:p>
        </w:tc>
        <w:tc>
          <w:tcPr>
            <w:tcW w:w="18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115781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11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13EBF4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  <w:tr w14:paraId="019F9B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82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DD6E0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SimSun"/>
                <w:b/>
                <w:bCs/>
                <w:color w:val="000000"/>
                <w:sz w:val="20"/>
                <w:szCs w:val="20"/>
                <w:lang w:val="en-US" w:eastAsia="zh-CN"/>
              </w:rPr>
              <w:t>202</w:t>
            </w:r>
            <w:r>
              <w:rPr>
                <w:rFonts w:ascii="Times New Roman" w:hAnsi="Times New Roman" w:eastAsia="SimSun"/>
                <w:b/>
                <w:bCs/>
                <w:color w:val="000000"/>
                <w:sz w:val="20"/>
                <w:szCs w:val="20"/>
                <w:lang w:eastAsia="zh-CN"/>
              </w:rPr>
              <w:t>8</w:t>
            </w:r>
            <w:r>
              <w:rPr>
                <w:rFonts w:ascii="Times New Roman" w:hAnsi="Times New Roman" w:eastAsia="SimSun"/>
                <w:b/>
                <w:bCs/>
                <w:color w:val="000000"/>
                <w:sz w:val="20"/>
                <w:szCs w:val="20"/>
                <w:lang w:val="en-US" w:eastAsia="zh-CN"/>
              </w:rPr>
              <w:t xml:space="preserve"> год</w:t>
            </w:r>
          </w:p>
        </w:tc>
      </w:tr>
      <w:tr w14:paraId="289660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0D59F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val="en-US" w:eastAsia="zh-CN"/>
              </w:rPr>
              <w:t>Всего доходов</w:t>
            </w:r>
          </w:p>
        </w:tc>
        <w:tc>
          <w:tcPr>
            <w:tcW w:w="22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52C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516 678,39 </w:t>
            </w:r>
          </w:p>
        </w:tc>
        <w:tc>
          <w:tcPr>
            <w:tcW w:w="13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27CA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517 050,99 </w:t>
            </w:r>
          </w:p>
        </w:tc>
        <w:tc>
          <w:tcPr>
            <w:tcW w:w="18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A9FE99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372,60 </w:t>
            </w:r>
          </w:p>
        </w:tc>
        <w:tc>
          <w:tcPr>
            <w:tcW w:w="11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7C21A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  <w:tr w14:paraId="282E80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2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B89C7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val="en-US" w:eastAsia="zh-CN"/>
              </w:rPr>
              <w:t>Всего расходов</w:t>
            </w:r>
          </w:p>
        </w:tc>
        <w:tc>
          <w:tcPr>
            <w:tcW w:w="22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6577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496 678,39 </w:t>
            </w:r>
          </w:p>
        </w:tc>
        <w:tc>
          <w:tcPr>
            <w:tcW w:w="13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BA0D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497 050,99 </w:t>
            </w:r>
          </w:p>
        </w:tc>
        <w:tc>
          <w:tcPr>
            <w:tcW w:w="18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DEB910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372,60 </w:t>
            </w:r>
          </w:p>
        </w:tc>
        <w:tc>
          <w:tcPr>
            <w:tcW w:w="11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15F6B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  <w:tr w14:paraId="278348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2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443A3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val="en-US" w:eastAsia="zh-CN"/>
              </w:rPr>
              <w:t>Дефицит (-), профицит (+)</w:t>
            </w:r>
          </w:p>
        </w:tc>
        <w:tc>
          <w:tcPr>
            <w:tcW w:w="22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9A0D97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20 000,00 </w:t>
            </w:r>
          </w:p>
        </w:tc>
        <w:tc>
          <w:tcPr>
            <w:tcW w:w="13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46D8E7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20 000,00 </w:t>
            </w:r>
          </w:p>
        </w:tc>
        <w:tc>
          <w:tcPr>
            <w:tcW w:w="18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F6F2B1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11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4F194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</w:tbl>
    <w:p w14:paraId="6FEF5F95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14:paraId="7C2D06D7">
      <w:pPr>
        <w:pStyle w:val="188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6"/>
          <w:szCs w:val="26"/>
        </w:rPr>
        <w:t>Основные изменения доходов бюджета Богородского муниципального округа Нижегородской области.</w:t>
      </w:r>
    </w:p>
    <w:p w14:paraId="686B4531">
      <w:pPr>
        <w:pStyle w:val="188"/>
        <w:shd w:val="clear" w:color="auto" w:fill="FFFFFF"/>
        <w:spacing w:after="0" w:line="240" w:lineRule="auto"/>
        <w:ind w:left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18"/>
          <w:szCs w:val="18"/>
        </w:rPr>
        <w:t>тыс. рублей</w:t>
      </w:r>
    </w:p>
    <w:tbl>
      <w:tblPr>
        <w:tblStyle w:val="3"/>
        <w:tblpPr w:leftFromText="180" w:rightFromText="180" w:vertAnchor="text" w:horzAnchor="page" w:tblpX="1692" w:tblpY="241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6"/>
        <w:gridCol w:w="2371"/>
        <w:gridCol w:w="1393"/>
        <w:gridCol w:w="1731"/>
        <w:gridCol w:w="1172"/>
      </w:tblGrid>
      <w:tr w14:paraId="36D2D3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2636" w:type="dxa"/>
            <w:noWrap/>
          </w:tcPr>
          <w:p w14:paraId="5DCE6B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371" w:type="dxa"/>
            <w:noWrap/>
          </w:tcPr>
          <w:p w14:paraId="44FA85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Решение от 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>11</w:t>
            </w:r>
            <w:r>
              <w:rPr>
                <w:rFonts w:ascii="Times New Roman" w:hAnsi="Times New Roman"/>
                <w:sz w:val="20"/>
                <w:szCs w:val="20"/>
              </w:rPr>
              <w:t>.12.2025 № 1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>48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(в редакции решения от 19.0</w:t>
            </w:r>
            <w:r>
              <w:rPr>
                <w:rFonts w:hint="default" w:ascii="Times New Roman" w:hAnsi="Times New Roman"/>
                <w:bCs/>
                <w:sz w:val="18"/>
                <w:szCs w:val="18"/>
                <w:lang w:val="ru-RU"/>
              </w:rPr>
              <w:t>2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.202</w:t>
            </w:r>
            <w:r>
              <w:rPr>
                <w:rFonts w:hint="default" w:ascii="Times New Roman" w:hAnsi="Times New Roman"/>
                <w:bCs/>
                <w:sz w:val="18"/>
                <w:szCs w:val="18"/>
                <w:lang w:val="ru-RU"/>
              </w:rPr>
              <w:t>6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№ </w:t>
            </w:r>
            <w:r>
              <w:rPr>
                <w:rFonts w:hint="default" w:ascii="Times New Roman" w:hAnsi="Times New Roman"/>
                <w:bCs/>
                <w:sz w:val="18"/>
                <w:szCs w:val="18"/>
                <w:lang w:val="ru-RU"/>
              </w:rPr>
              <w:t>8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</w:tc>
        <w:tc>
          <w:tcPr>
            <w:tcW w:w="1393" w:type="dxa"/>
            <w:noWrap/>
          </w:tcPr>
          <w:p w14:paraId="76257D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 решения</w:t>
            </w:r>
          </w:p>
        </w:tc>
        <w:tc>
          <w:tcPr>
            <w:tcW w:w="1731" w:type="dxa"/>
            <w:noWrap/>
          </w:tcPr>
          <w:p w14:paraId="4C9CF3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Изменения к утверждённому решению</w:t>
            </w:r>
          </w:p>
        </w:tc>
        <w:tc>
          <w:tcPr>
            <w:tcW w:w="1172" w:type="dxa"/>
            <w:noWrap/>
          </w:tcPr>
          <w:p w14:paraId="51AC34E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 изменения</w:t>
            </w:r>
          </w:p>
        </w:tc>
      </w:tr>
      <w:tr w14:paraId="10E058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" w:hRule="atLeast"/>
        </w:trPr>
        <w:tc>
          <w:tcPr>
            <w:tcW w:w="2636" w:type="dxa"/>
            <w:noWrap/>
          </w:tcPr>
          <w:p w14:paraId="5CC49BCD">
            <w:pPr>
              <w:pStyle w:val="188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2371" w:type="dxa"/>
            <w:noWrap/>
            <w:vAlign w:val="top"/>
          </w:tcPr>
          <w:p w14:paraId="5BA6D7B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315 890,50 </w:t>
            </w:r>
          </w:p>
        </w:tc>
        <w:tc>
          <w:tcPr>
            <w:tcW w:w="1393" w:type="dxa"/>
            <w:noWrap/>
            <w:vAlign w:val="top"/>
          </w:tcPr>
          <w:p w14:paraId="33CF720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318 308,28 </w:t>
            </w:r>
          </w:p>
        </w:tc>
        <w:tc>
          <w:tcPr>
            <w:tcW w:w="1731" w:type="dxa"/>
            <w:noWrap/>
            <w:vAlign w:val="top"/>
          </w:tcPr>
          <w:p w14:paraId="52C9684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2 417,78 </w:t>
            </w:r>
          </w:p>
        </w:tc>
        <w:tc>
          <w:tcPr>
            <w:tcW w:w="1172" w:type="dxa"/>
            <w:noWrap/>
            <w:vAlign w:val="top"/>
          </w:tcPr>
          <w:p w14:paraId="75E0C14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0,18 </w:t>
            </w:r>
          </w:p>
        </w:tc>
      </w:tr>
      <w:tr w14:paraId="7FBBDD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6" w:type="dxa"/>
            <w:noWrap/>
          </w:tcPr>
          <w:p w14:paraId="4C7938F1">
            <w:pPr>
              <w:pStyle w:val="188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2371" w:type="dxa"/>
            <w:noWrap/>
            <w:vAlign w:val="top"/>
          </w:tcPr>
          <w:p w14:paraId="447AD5F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386 737,48 </w:t>
            </w:r>
          </w:p>
        </w:tc>
        <w:tc>
          <w:tcPr>
            <w:tcW w:w="1393" w:type="dxa"/>
            <w:noWrap/>
            <w:vAlign w:val="top"/>
          </w:tcPr>
          <w:p w14:paraId="31A791E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419 676,46 </w:t>
            </w:r>
          </w:p>
        </w:tc>
        <w:tc>
          <w:tcPr>
            <w:tcW w:w="1731" w:type="dxa"/>
            <w:noWrap/>
            <w:vAlign w:val="top"/>
          </w:tcPr>
          <w:p w14:paraId="4A45CB8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32 938,98 </w:t>
            </w:r>
          </w:p>
        </w:tc>
        <w:tc>
          <w:tcPr>
            <w:tcW w:w="1172" w:type="dxa"/>
            <w:noWrap/>
            <w:vAlign w:val="top"/>
          </w:tcPr>
          <w:p w14:paraId="4A17B1B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1,38 </w:t>
            </w:r>
          </w:p>
        </w:tc>
      </w:tr>
      <w:tr w14:paraId="60559D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6" w:type="dxa"/>
            <w:noWrap/>
          </w:tcPr>
          <w:p w14:paraId="728240CE">
            <w:pPr>
              <w:pStyle w:val="18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bCs/>
                <w:sz w:val="20"/>
                <w:szCs w:val="20"/>
              </w:rPr>
              <w:t>Всего доходов</w:t>
            </w:r>
          </w:p>
        </w:tc>
        <w:tc>
          <w:tcPr>
            <w:tcW w:w="2371" w:type="dxa"/>
            <w:noWrap/>
            <w:vAlign w:val="top"/>
          </w:tcPr>
          <w:p w14:paraId="032695A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702 627,98 </w:t>
            </w:r>
          </w:p>
        </w:tc>
        <w:tc>
          <w:tcPr>
            <w:tcW w:w="1393" w:type="dxa"/>
            <w:noWrap/>
            <w:vAlign w:val="top"/>
          </w:tcPr>
          <w:p w14:paraId="5D54D63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737 984,74 </w:t>
            </w:r>
          </w:p>
        </w:tc>
        <w:tc>
          <w:tcPr>
            <w:tcW w:w="1731" w:type="dxa"/>
            <w:noWrap/>
            <w:vAlign w:val="top"/>
          </w:tcPr>
          <w:p w14:paraId="3F799C4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35 356,76 </w:t>
            </w:r>
          </w:p>
        </w:tc>
        <w:tc>
          <w:tcPr>
            <w:tcW w:w="1172" w:type="dxa"/>
            <w:noWrap/>
            <w:vAlign w:val="top"/>
          </w:tcPr>
          <w:p w14:paraId="6FB1763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1,56 </w:t>
            </w:r>
          </w:p>
        </w:tc>
      </w:tr>
    </w:tbl>
    <w:p w14:paraId="621EAED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Согласно пояснительной записке к проекту решения изменение доходов осуществляется за счет</w:t>
      </w:r>
      <w:r>
        <w:rPr>
          <w:rFonts w:hint="default" w:ascii="Times New Roman" w:hAnsi="Times New Roman"/>
          <w:sz w:val="26"/>
          <w:szCs w:val="26"/>
          <w:lang w:val="ru-RU"/>
        </w:rPr>
        <w:t xml:space="preserve"> неналоговых доходов и </w:t>
      </w:r>
      <w:r>
        <w:rPr>
          <w:rFonts w:ascii="Times New Roman" w:hAnsi="Times New Roman"/>
          <w:sz w:val="26"/>
          <w:szCs w:val="26"/>
        </w:rPr>
        <w:t>безвозмездных поступлений из областного и федерального бюджетов.</w:t>
      </w:r>
    </w:p>
    <w:p w14:paraId="2C9CA9A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В 2026 году доходная часть бюджета увеличивается на </w:t>
      </w:r>
      <w:r>
        <w:rPr>
          <w:rFonts w:hint="default" w:ascii="Times New Roman" w:hAnsi="Times New Roman"/>
          <w:sz w:val="26"/>
          <w:szCs w:val="26"/>
          <w:lang w:val="ru-RU"/>
        </w:rPr>
        <w:t xml:space="preserve">48 051,47 </w:t>
      </w:r>
      <w:r>
        <w:rPr>
          <w:rFonts w:ascii="Times New Roman" w:hAnsi="Times New Roman"/>
          <w:sz w:val="26"/>
          <w:szCs w:val="26"/>
        </w:rPr>
        <w:t xml:space="preserve">тыс. рублей за счет увеличения следующих доходов: </w:t>
      </w:r>
    </w:p>
    <w:p w14:paraId="3ECE0621">
      <w:pPr>
        <w:pStyle w:val="188"/>
        <w:numPr>
          <w:ilvl w:val="0"/>
          <w:numId w:val="3"/>
        </w:num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ru-RU"/>
        </w:rPr>
        <w:t>Прочих</w:t>
      </w:r>
      <w:r>
        <w:rPr>
          <w:rFonts w:hint="default" w:ascii="Times New Roman" w:hAnsi="Times New Roman"/>
          <w:sz w:val="26"/>
          <w:szCs w:val="26"/>
          <w:lang w:val="ru-RU"/>
        </w:rPr>
        <w:t xml:space="preserve"> доходов от компенсации затрат в сумме 2 417,78 тыс.рублей. </w:t>
      </w:r>
    </w:p>
    <w:p w14:paraId="7FDA8DB5">
      <w:pPr>
        <w:pStyle w:val="188"/>
        <w:numPr>
          <w:ilvl w:val="0"/>
          <w:numId w:val="3"/>
        </w:num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Субсидий из областного</w:t>
      </w:r>
      <w:r>
        <w:rPr>
          <w:rFonts w:hint="default" w:ascii="Times New Roman" w:hAnsi="Times New Roman"/>
          <w:sz w:val="26"/>
          <w:szCs w:val="26"/>
          <w:lang w:val="ru-RU"/>
        </w:rPr>
        <w:t xml:space="preserve"> федерального</w:t>
      </w:r>
      <w:r>
        <w:rPr>
          <w:rFonts w:ascii="Times New Roman" w:hAnsi="Times New Roman"/>
          <w:sz w:val="26"/>
          <w:szCs w:val="26"/>
        </w:rPr>
        <w:t xml:space="preserve"> бюджет</w:t>
      </w:r>
      <w:r>
        <w:rPr>
          <w:rFonts w:ascii="Times New Roman" w:hAnsi="Times New Roman"/>
          <w:sz w:val="26"/>
          <w:szCs w:val="26"/>
          <w:lang w:val="ru-RU"/>
        </w:rPr>
        <w:t>ов</w:t>
      </w:r>
      <w:r>
        <w:rPr>
          <w:rFonts w:ascii="Times New Roman" w:hAnsi="Times New Roman"/>
          <w:sz w:val="26"/>
          <w:szCs w:val="26"/>
        </w:rPr>
        <w:t>:</w:t>
      </w:r>
    </w:p>
    <w:p w14:paraId="0A304FC0">
      <w:pPr>
        <w:pStyle w:val="188"/>
        <w:shd w:val="clear" w:color="auto" w:fill="FFFFFF"/>
        <w:spacing w:after="0" w:line="240" w:lineRule="auto"/>
        <w:ind w:left="0" w:firstLine="657" w:firstLineChars="253"/>
        <w:jc w:val="both"/>
        <w:rPr>
          <w:rFonts w:hint="default"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>
        <w:rPr>
          <w:rFonts w:ascii="Times New Roman" w:hAnsi="Times New Roman"/>
          <w:sz w:val="26"/>
          <w:szCs w:val="26"/>
          <w:lang w:val="ru-RU"/>
        </w:rPr>
        <w:t>на</w:t>
      </w:r>
      <w:r>
        <w:rPr>
          <w:rFonts w:hint="default" w:ascii="Times New Roman" w:hAnsi="Times New Roman"/>
          <w:sz w:val="26"/>
          <w:szCs w:val="26"/>
          <w:lang w:val="ru-RU"/>
        </w:rPr>
        <w:t xml:space="preserve"> обеспечение сохранности воинских захоронений </w:t>
      </w:r>
      <w:r>
        <w:rPr>
          <w:rFonts w:ascii="Times New Roman" w:hAnsi="Times New Roman"/>
          <w:sz w:val="26"/>
          <w:szCs w:val="26"/>
        </w:rPr>
        <w:t xml:space="preserve">в сумме </w:t>
      </w:r>
      <w:r>
        <w:rPr>
          <w:rFonts w:hint="default" w:ascii="Times New Roman" w:hAnsi="Times New Roman"/>
          <w:sz w:val="26"/>
          <w:szCs w:val="26"/>
          <w:lang w:val="ru-RU"/>
        </w:rPr>
        <w:t>2 655,20</w:t>
      </w:r>
      <w:r>
        <w:rPr>
          <w:rFonts w:ascii="Times New Roman" w:hAnsi="Times New Roman"/>
          <w:sz w:val="26"/>
          <w:szCs w:val="26"/>
        </w:rPr>
        <w:t xml:space="preserve"> тыс. рублей</w:t>
      </w:r>
      <w:r>
        <w:rPr>
          <w:rFonts w:hint="default" w:ascii="Times New Roman" w:hAnsi="Times New Roman"/>
          <w:sz w:val="26"/>
          <w:szCs w:val="26"/>
          <w:lang w:val="ru-RU"/>
        </w:rPr>
        <w:t>;</w:t>
      </w:r>
    </w:p>
    <w:p w14:paraId="7A6BEAA6">
      <w:pPr>
        <w:pStyle w:val="188"/>
        <w:shd w:val="clear" w:color="auto" w:fill="FFFFFF"/>
        <w:spacing w:after="0" w:line="240" w:lineRule="auto"/>
        <w:ind w:left="0" w:firstLine="657" w:firstLineChars="25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прочи</w:t>
      </w:r>
      <w:r>
        <w:rPr>
          <w:rFonts w:ascii="Times New Roman" w:hAnsi="Times New Roman"/>
          <w:sz w:val="26"/>
          <w:szCs w:val="26"/>
          <w:lang w:val="ru-RU"/>
        </w:rPr>
        <w:t>х</w:t>
      </w:r>
      <w:r>
        <w:rPr>
          <w:rFonts w:ascii="Times New Roman" w:hAnsi="Times New Roman"/>
          <w:sz w:val="26"/>
          <w:szCs w:val="26"/>
        </w:rPr>
        <w:t xml:space="preserve"> субсиди</w:t>
      </w:r>
      <w:r>
        <w:rPr>
          <w:rFonts w:ascii="Times New Roman" w:hAnsi="Times New Roman"/>
          <w:sz w:val="26"/>
          <w:szCs w:val="26"/>
          <w:lang w:val="ru-RU"/>
        </w:rPr>
        <w:t>й</w:t>
      </w:r>
      <w:r>
        <w:rPr>
          <w:rFonts w:ascii="Times New Roman" w:hAnsi="Times New Roman"/>
          <w:sz w:val="26"/>
          <w:szCs w:val="26"/>
        </w:rPr>
        <w:t xml:space="preserve"> бюджетам муниципальных округов в сумме </w:t>
      </w:r>
      <w:r>
        <w:rPr>
          <w:rFonts w:hint="default" w:ascii="Times New Roman" w:hAnsi="Times New Roman"/>
          <w:sz w:val="26"/>
          <w:szCs w:val="26"/>
          <w:lang w:val="ru-RU"/>
        </w:rPr>
        <w:t>35 183,19</w:t>
      </w:r>
      <w:r>
        <w:rPr>
          <w:rFonts w:ascii="Times New Roman" w:hAnsi="Times New Roman"/>
          <w:sz w:val="26"/>
          <w:szCs w:val="26"/>
        </w:rPr>
        <w:t xml:space="preserve"> тыс. рублей. </w:t>
      </w:r>
    </w:p>
    <w:p w14:paraId="462509AB">
      <w:pPr>
        <w:pStyle w:val="188"/>
        <w:numPr>
          <w:ilvl w:val="0"/>
          <w:numId w:val="3"/>
        </w:num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ru-RU"/>
        </w:rPr>
        <w:t>Субвенций</w:t>
      </w:r>
      <w:r>
        <w:rPr>
          <w:rFonts w:hint="default" w:ascii="Times New Roman" w:hAnsi="Times New Roman"/>
          <w:sz w:val="26"/>
          <w:szCs w:val="26"/>
          <w:lang w:val="ru-RU"/>
        </w:rPr>
        <w:t xml:space="preserve"> бюджетам муниципальных округов на выполнение передаваемых полномочий субъектов Российской Федерации в сумме 19,90 тыс.рублей.</w:t>
      </w:r>
    </w:p>
    <w:p w14:paraId="1F3660AC">
      <w:pPr>
        <w:pStyle w:val="188"/>
        <w:numPr>
          <w:ilvl w:val="0"/>
          <w:numId w:val="3"/>
        </w:num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hint="default" w:ascii="Times New Roman" w:hAnsi="Times New Roman"/>
          <w:sz w:val="26"/>
          <w:szCs w:val="26"/>
          <w:lang w:val="ru-RU"/>
        </w:rPr>
        <w:t>Единой субвенции бюджетам муниципальных округов в сумме 352,70 тыс.рублей.</w:t>
      </w:r>
    </w:p>
    <w:p w14:paraId="0A202BA0">
      <w:pPr>
        <w:pStyle w:val="188"/>
        <w:numPr>
          <w:ilvl w:val="0"/>
          <w:numId w:val="3"/>
        </w:num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ru-RU"/>
        </w:rPr>
        <w:t>Прочих</w:t>
      </w:r>
      <w:r>
        <w:rPr>
          <w:rFonts w:hint="default" w:ascii="Times New Roman" w:hAnsi="Times New Roman"/>
          <w:sz w:val="26"/>
          <w:szCs w:val="26"/>
          <w:lang w:val="ru-RU"/>
        </w:rPr>
        <w:t xml:space="preserve"> м</w:t>
      </w:r>
      <w:r>
        <w:rPr>
          <w:rFonts w:ascii="Times New Roman" w:hAnsi="Times New Roman"/>
          <w:sz w:val="26"/>
          <w:szCs w:val="26"/>
        </w:rPr>
        <w:t>ежбюджетных трансфертов</w:t>
      </w:r>
      <w:r>
        <w:rPr>
          <w:rFonts w:hint="default" w:ascii="Times New Roman" w:hAnsi="Times New Roman"/>
          <w:sz w:val="26"/>
          <w:szCs w:val="26"/>
          <w:lang w:val="ru-RU"/>
        </w:rPr>
        <w:t xml:space="preserve">, передаваемых бюджетам муниципальных округов из фонда </w:t>
      </w:r>
      <w:r>
        <w:rPr>
          <w:rFonts w:ascii="Times New Roman" w:hAnsi="Times New Roman"/>
          <w:sz w:val="26"/>
          <w:szCs w:val="26"/>
        </w:rPr>
        <w:t xml:space="preserve">на </w:t>
      </w:r>
      <w:r>
        <w:rPr>
          <w:rFonts w:ascii="Times New Roman" w:hAnsi="Times New Roman"/>
          <w:sz w:val="26"/>
          <w:szCs w:val="26"/>
          <w:lang w:val="ru-RU"/>
        </w:rPr>
        <w:t>поддержку</w:t>
      </w:r>
      <w:r>
        <w:rPr>
          <w:rFonts w:hint="default" w:ascii="Times New Roman" w:hAnsi="Times New Roman"/>
          <w:sz w:val="26"/>
          <w:szCs w:val="26"/>
          <w:lang w:val="ru-RU"/>
        </w:rPr>
        <w:t xml:space="preserve"> территорий</w:t>
      </w:r>
      <w:r>
        <w:rPr>
          <w:rFonts w:ascii="Times New Roman" w:hAnsi="Times New Roman"/>
          <w:sz w:val="26"/>
          <w:szCs w:val="26"/>
        </w:rPr>
        <w:t xml:space="preserve"> в сумме </w:t>
      </w:r>
      <w:r>
        <w:rPr>
          <w:rFonts w:hint="default" w:ascii="Times New Roman" w:hAnsi="Times New Roman"/>
          <w:sz w:val="26"/>
          <w:szCs w:val="26"/>
          <w:lang w:val="ru-RU"/>
        </w:rPr>
        <w:t>1 000,00</w:t>
      </w:r>
      <w:r>
        <w:rPr>
          <w:rFonts w:ascii="Times New Roman" w:hAnsi="Times New Roman"/>
          <w:sz w:val="26"/>
          <w:szCs w:val="26"/>
        </w:rPr>
        <w:t xml:space="preserve"> тыс. рублей.</w:t>
      </w:r>
    </w:p>
    <w:p w14:paraId="3E954C2E">
      <w:pPr>
        <w:pStyle w:val="188"/>
        <w:numPr>
          <w:ilvl w:val="0"/>
          <w:numId w:val="3"/>
        </w:num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ru-RU"/>
        </w:rPr>
        <w:t>Доходов</w:t>
      </w:r>
      <w:r>
        <w:rPr>
          <w:rFonts w:hint="default" w:ascii="Times New Roman" w:hAnsi="Times New Roman"/>
          <w:sz w:val="26"/>
          <w:szCs w:val="26"/>
          <w:lang w:val="ru-RU"/>
        </w:rPr>
        <w:t xml:space="preserve">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  в сумме 6 422,70 тыс.рублей.</w:t>
      </w:r>
    </w:p>
    <w:p w14:paraId="4C2D3663">
      <w:pPr>
        <w:pStyle w:val="188"/>
        <w:shd w:val="clear" w:color="auto" w:fill="FFFFFF"/>
        <w:spacing w:after="0" w:line="240" w:lineRule="auto"/>
        <w:ind w:left="660"/>
        <w:jc w:val="both"/>
        <w:rPr>
          <w:rFonts w:ascii="Times New Roman" w:hAnsi="Times New Roman"/>
          <w:sz w:val="26"/>
          <w:szCs w:val="26"/>
        </w:rPr>
      </w:pPr>
    </w:p>
    <w:p w14:paraId="47AB9F0C">
      <w:pPr>
        <w:pStyle w:val="188"/>
        <w:shd w:val="clear" w:color="auto" w:fill="FFFFFF"/>
        <w:spacing w:after="0" w:line="240" w:lineRule="auto"/>
        <w:ind w:left="0" w:firstLine="657" w:firstLineChars="25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Уменьшение доходной части осуществляется в сумме </w:t>
      </w:r>
      <w:r>
        <w:rPr>
          <w:rFonts w:hint="default" w:ascii="Times New Roman" w:hAnsi="Times New Roman"/>
          <w:sz w:val="26"/>
          <w:szCs w:val="26"/>
          <w:lang w:val="ru-RU"/>
        </w:rPr>
        <w:t>12 694,71</w:t>
      </w:r>
      <w:r>
        <w:rPr>
          <w:rFonts w:ascii="Times New Roman" w:hAnsi="Times New Roman"/>
          <w:sz w:val="26"/>
          <w:szCs w:val="26"/>
        </w:rPr>
        <w:t xml:space="preserve"> тыс. рублей за счет сокращения следующих доходов: </w:t>
      </w:r>
    </w:p>
    <w:p w14:paraId="0FC7427A">
      <w:pPr>
        <w:pStyle w:val="188"/>
        <w:numPr>
          <w:ilvl w:val="0"/>
          <w:numId w:val="4"/>
        </w:numPr>
        <w:shd w:val="clear" w:color="auto" w:fill="FFFFFF"/>
        <w:spacing w:after="0" w:line="240" w:lineRule="auto"/>
        <w:ind w:left="0" w:firstLine="658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</w:rPr>
        <w:t>Субсиди</w:t>
      </w:r>
      <w:r>
        <w:rPr>
          <w:rFonts w:ascii="Times New Roman" w:hAnsi="Times New Roman"/>
          <w:sz w:val="26"/>
          <w:szCs w:val="26"/>
          <w:lang w:val="ru-RU"/>
        </w:rPr>
        <w:t>й</w:t>
      </w:r>
      <w:r>
        <w:rPr>
          <w:rFonts w:hint="default" w:ascii="Times New Roman" w:hAnsi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</w:rPr>
        <w:t>бюджетам муниципальных округов</w:t>
      </w:r>
      <w:r>
        <w:rPr>
          <w:rFonts w:hint="default" w:ascii="Times New Roman" w:hAnsi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  <w:lang w:val="ru-RU"/>
        </w:rPr>
        <w:t>на</w:t>
      </w:r>
      <w:r>
        <w:rPr>
          <w:rFonts w:hint="default" w:ascii="Times New Roman" w:hAnsi="Times New Roman"/>
          <w:sz w:val="26"/>
          <w:szCs w:val="26"/>
          <w:lang w:val="ru-RU"/>
        </w:rPr>
        <w:t xml:space="preserve"> софинансирование к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апитальных вложений в объекты муниципальной собственности в сумме 1 198,98 тыс.рублей.</w:t>
      </w:r>
    </w:p>
    <w:p w14:paraId="4B7D9EF7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57" w:firstLineChars="253"/>
        <w:jc w:val="both"/>
        <w:textAlignment w:val="auto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П</w:t>
      </w:r>
      <w:r>
        <w:rPr>
          <w:rFonts w:hint="default" w:ascii="Times New Roman" w:hAnsi="Times New Roman" w:cs="Times New Roman"/>
          <w:sz w:val="26"/>
          <w:szCs w:val="26"/>
        </w:rPr>
        <w:t xml:space="preserve">рочих субсидий бюджетам муниципальных округов в сумме 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2 655,25</w:t>
      </w:r>
      <w:r>
        <w:rPr>
          <w:rFonts w:hint="default" w:ascii="Times New Roman" w:hAnsi="Times New Roman" w:cs="Times New Roman"/>
          <w:sz w:val="26"/>
          <w:szCs w:val="26"/>
        </w:rPr>
        <w:t xml:space="preserve"> тыс. рублей.</w:t>
      </w:r>
    </w:p>
    <w:p w14:paraId="3D00D9C8">
      <w:pPr>
        <w:pStyle w:val="188"/>
        <w:numPr>
          <w:ilvl w:val="0"/>
          <w:numId w:val="4"/>
        </w:numPr>
        <w:shd w:val="clear" w:color="auto" w:fill="FFFFFF"/>
        <w:spacing w:after="0" w:line="240" w:lineRule="auto"/>
        <w:ind w:left="0" w:firstLine="657" w:firstLineChars="253"/>
        <w:jc w:val="both"/>
        <w:rPr>
          <w:rFonts w:ascii="Times New Roman" w:hAnsi="Times New Roman"/>
          <w:sz w:val="26"/>
          <w:szCs w:val="26"/>
        </w:rPr>
      </w:pPr>
      <w:r>
        <w:rPr>
          <w:rFonts w:hint="default" w:ascii="Times New Roman" w:hAnsi="Times New Roman"/>
          <w:sz w:val="26"/>
          <w:szCs w:val="26"/>
          <w:lang w:val="ru-RU"/>
        </w:rPr>
        <w:t>Возврата остатков субсидий, субвенций и иных межбюджетных трансфертов, имеющих целевое назначение, прошлых лет из бюджетов муниципальных округов в сумме 8 840,48 тыс.рублей.</w:t>
      </w:r>
    </w:p>
    <w:p w14:paraId="1510288F">
      <w:pPr>
        <w:pStyle w:val="188"/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sz w:val="26"/>
          <w:szCs w:val="26"/>
        </w:rPr>
      </w:pPr>
    </w:p>
    <w:p w14:paraId="0CCF1578">
      <w:pPr>
        <w:pStyle w:val="188"/>
        <w:numPr>
          <w:ilvl w:val="0"/>
          <w:numId w:val="2"/>
        </w:numPr>
        <w:shd w:val="clear" w:color="auto" w:fill="FFFFFF"/>
        <w:spacing w:before="240" w:after="0" w:line="240" w:lineRule="auto"/>
        <w:ind w:left="0" w:firstLine="36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Основные изменения бюджетных ассигнований на осуществление расходов бюджета Богородского муниципального округа </w:t>
      </w:r>
    </w:p>
    <w:p w14:paraId="163569A1">
      <w:pPr>
        <w:pStyle w:val="188"/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Нижегородской области</w:t>
      </w:r>
    </w:p>
    <w:p w14:paraId="0D54853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Информация об изменениях бюджетных ассигнований по разделам классификации расходов местного бюджета на 2026 год представлена в таблице.</w:t>
      </w:r>
    </w:p>
    <w:p w14:paraId="6C411D8F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тыс. рублей</w:t>
      </w:r>
    </w:p>
    <w:tbl>
      <w:tblPr>
        <w:tblStyle w:val="3"/>
        <w:tblpPr w:leftFromText="180" w:rightFromText="180" w:vertAnchor="text" w:tblpXSpec="center" w:tblpY="1"/>
        <w:tblOverlap w:val="never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3"/>
        <w:gridCol w:w="2408"/>
        <w:gridCol w:w="1372"/>
        <w:gridCol w:w="1757"/>
        <w:gridCol w:w="1116"/>
      </w:tblGrid>
      <w:tr w14:paraId="28B545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3" w:type="dxa"/>
            <w:noWrap/>
            <w:vAlign w:val="center"/>
          </w:tcPr>
          <w:p w14:paraId="3A9478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sz w:val="20"/>
                <w:szCs w:val="20"/>
              </w:rPr>
              <w:t>Наименование раздела классификации расходов бюджета</w:t>
            </w:r>
          </w:p>
        </w:tc>
        <w:tc>
          <w:tcPr>
            <w:tcW w:w="2408" w:type="dxa"/>
            <w:noWrap/>
            <w:vAlign w:val="center"/>
          </w:tcPr>
          <w:p w14:paraId="13353F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Решение от 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>11</w:t>
            </w:r>
            <w:r>
              <w:rPr>
                <w:rFonts w:ascii="Times New Roman" w:hAnsi="Times New Roman"/>
                <w:sz w:val="20"/>
                <w:szCs w:val="20"/>
              </w:rPr>
              <w:t>.12.2025 № 1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>48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(в редакции решения от 19.0</w:t>
            </w:r>
            <w:r>
              <w:rPr>
                <w:rFonts w:hint="default" w:ascii="Times New Roman" w:hAnsi="Times New Roman"/>
                <w:bCs/>
                <w:sz w:val="18"/>
                <w:szCs w:val="18"/>
                <w:lang w:val="ru-RU"/>
              </w:rPr>
              <w:t>2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.202</w:t>
            </w:r>
            <w:r>
              <w:rPr>
                <w:rFonts w:hint="default" w:ascii="Times New Roman" w:hAnsi="Times New Roman"/>
                <w:bCs/>
                <w:sz w:val="18"/>
                <w:szCs w:val="18"/>
                <w:lang w:val="ru-RU"/>
              </w:rPr>
              <w:t>6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№ </w:t>
            </w:r>
            <w:r>
              <w:rPr>
                <w:rFonts w:hint="default" w:ascii="Times New Roman" w:hAnsi="Times New Roman"/>
                <w:bCs/>
                <w:sz w:val="18"/>
                <w:szCs w:val="18"/>
                <w:lang w:val="ru-RU"/>
              </w:rPr>
              <w:t>8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</w:tc>
        <w:tc>
          <w:tcPr>
            <w:tcW w:w="1372" w:type="dxa"/>
            <w:noWrap/>
            <w:vAlign w:val="center"/>
          </w:tcPr>
          <w:p w14:paraId="363254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sz w:val="20"/>
                <w:szCs w:val="20"/>
              </w:rPr>
              <w:t xml:space="preserve">Проект решения </w:t>
            </w:r>
          </w:p>
        </w:tc>
        <w:tc>
          <w:tcPr>
            <w:tcW w:w="1757" w:type="dxa"/>
            <w:noWrap/>
            <w:vAlign w:val="center"/>
          </w:tcPr>
          <w:p w14:paraId="2C5E0A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sz w:val="20"/>
                <w:szCs w:val="20"/>
              </w:rPr>
              <w:t xml:space="preserve">Изменения к утвержденному решению </w:t>
            </w:r>
          </w:p>
        </w:tc>
        <w:tc>
          <w:tcPr>
            <w:tcW w:w="1116" w:type="dxa"/>
            <w:noWrap/>
            <w:vAlign w:val="center"/>
          </w:tcPr>
          <w:p w14:paraId="1BE23A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sz w:val="20"/>
                <w:szCs w:val="20"/>
              </w:rPr>
              <w:t>% изменения</w:t>
            </w:r>
          </w:p>
        </w:tc>
      </w:tr>
      <w:tr w14:paraId="51A3FF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03" w:type="dxa"/>
            <w:noWrap/>
          </w:tcPr>
          <w:p w14:paraId="4A83F7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val="en-US" w:eastAsia="zh-CN"/>
              </w:rPr>
              <w:t>Общегосударственные вопросы</w:t>
            </w:r>
          </w:p>
        </w:tc>
        <w:tc>
          <w:tcPr>
            <w:tcW w:w="2408" w:type="dxa"/>
            <w:noWrap/>
            <w:vAlign w:val="bottom"/>
          </w:tcPr>
          <w:p w14:paraId="6F8071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324 944,49 </w:t>
            </w:r>
          </w:p>
        </w:tc>
        <w:tc>
          <w:tcPr>
            <w:tcW w:w="1372" w:type="dxa"/>
            <w:noWrap/>
            <w:vAlign w:val="bottom"/>
          </w:tcPr>
          <w:p w14:paraId="74BD14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336 345,16 </w:t>
            </w:r>
          </w:p>
        </w:tc>
        <w:tc>
          <w:tcPr>
            <w:tcW w:w="1757" w:type="dxa"/>
            <w:noWrap/>
            <w:vAlign w:val="bottom"/>
          </w:tcPr>
          <w:p w14:paraId="71B8DF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11 400,67 </w:t>
            </w:r>
          </w:p>
        </w:tc>
        <w:tc>
          <w:tcPr>
            <w:tcW w:w="1116" w:type="dxa"/>
            <w:noWrap/>
            <w:vAlign w:val="bottom"/>
          </w:tcPr>
          <w:p w14:paraId="398F13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3,5 </w:t>
            </w:r>
          </w:p>
        </w:tc>
      </w:tr>
      <w:tr w14:paraId="3D7843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03" w:type="dxa"/>
            <w:noWrap/>
          </w:tcPr>
          <w:p w14:paraId="2A2284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val="en-US" w:eastAsia="zh-CN"/>
              </w:rPr>
              <w:t>Национальная оборона</w:t>
            </w:r>
          </w:p>
        </w:tc>
        <w:tc>
          <w:tcPr>
            <w:tcW w:w="2408" w:type="dxa"/>
            <w:noWrap/>
            <w:vAlign w:val="bottom"/>
          </w:tcPr>
          <w:p w14:paraId="55A516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2 907,80 </w:t>
            </w:r>
          </w:p>
        </w:tc>
        <w:tc>
          <w:tcPr>
            <w:tcW w:w="1372" w:type="dxa"/>
            <w:noWrap/>
            <w:vAlign w:val="bottom"/>
          </w:tcPr>
          <w:p w14:paraId="2D604F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2 907,80 </w:t>
            </w:r>
          </w:p>
        </w:tc>
        <w:tc>
          <w:tcPr>
            <w:tcW w:w="1757" w:type="dxa"/>
            <w:noWrap/>
            <w:vAlign w:val="bottom"/>
          </w:tcPr>
          <w:p w14:paraId="0DAA76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1116" w:type="dxa"/>
            <w:noWrap/>
            <w:vAlign w:val="bottom"/>
          </w:tcPr>
          <w:p w14:paraId="6FA947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 </w:t>
            </w:r>
          </w:p>
        </w:tc>
      </w:tr>
      <w:tr w14:paraId="6DE78B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3" w:type="dxa"/>
            <w:noWrap/>
          </w:tcPr>
          <w:p w14:paraId="1D220E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/>
              </w:rPr>
              <w:t>Национальная безопасность и правоохранительная деятельность</w:t>
            </w:r>
          </w:p>
        </w:tc>
        <w:tc>
          <w:tcPr>
            <w:tcW w:w="2408" w:type="dxa"/>
            <w:noWrap/>
            <w:vAlign w:val="bottom"/>
          </w:tcPr>
          <w:p w14:paraId="5D58B9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70 217,96 </w:t>
            </w:r>
          </w:p>
        </w:tc>
        <w:tc>
          <w:tcPr>
            <w:tcW w:w="1372" w:type="dxa"/>
            <w:noWrap/>
            <w:vAlign w:val="bottom"/>
          </w:tcPr>
          <w:p w14:paraId="302C03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70 217,96 </w:t>
            </w:r>
          </w:p>
        </w:tc>
        <w:tc>
          <w:tcPr>
            <w:tcW w:w="1757" w:type="dxa"/>
            <w:noWrap/>
            <w:vAlign w:val="bottom"/>
          </w:tcPr>
          <w:p w14:paraId="099837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1116" w:type="dxa"/>
            <w:noWrap/>
            <w:vAlign w:val="bottom"/>
          </w:tcPr>
          <w:p w14:paraId="57D7D0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 </w:t>
            </w:r>
          </w:p>
        </w:tc>
      </w:tr>
      <w:tr w14:paraId="25A158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2803" w:type="dxa"/>
            <w:noWrap/>
          </w:tcPr>
          <w:p w14:paraId="5D7CEE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val="en-US" w:eastAsia="zh-CN"/>
              </w:rPr>
              <w:t>Национальная экономика</w:t>
            </w:r>
          </w:p>
        </w:tc>
        <w:tc>
          <w:tcPr>
            <w:tcW w:w="2408" w:type="dxa"/>
            <w:noWrap/>
            <w:vAlign w:val="bottom"/>
          </w:tcPr>
          <w:p w14:paraId="085C67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189 304,05 </w:t>
            </w:r>
          </w:p>
        </w:tc>
        <w:tc>
          <w:tcPr>
            <w:tcW w:w="1372" w:type="dxa"/>
            <w:noWrap/>
            <w:vAlign w:val="bottom"/>
          </w:tcPr>
          <w:p w14:paraId="7F100C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254 278,56 </w:t>
            </w:r>
          </w:p>
        </w:tc>
        <w:tc>
          <w:tcPr>
            <w:tcW w:w="1757" w:type="dxa"/>
            <w:noWrap/>
            <w:vAlign w:val="bottom"/>
          </w:tcPr>
          <w:p w14:paraId="409929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64 974,51 </w:t>
            </w:r>
          </w:p>
        </w:tc>
        <w:tc>
          <w:tcPr>
            <w:tcW w:w="1116" w:type="dxa"/>
            <w:noWrap/>
            <w:vAlign w:val="bottom"/>
          </w:tcPr>
          <w:p w14:paraId="7639B8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34,3 </w:t>
            </w:r>
          </w:p>
        </w:tc>
      </w:tr>
      <w:tr w14:paraId="3345D9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3" w:type="dxa"/>
            <w:noWrap/>
          </w:tcPr>
          <w:p w14:paraId="0E82A7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val="en-US" w:eastAsia="zh-CN"/>
              </w:rPr>
              <w:t>Жилищно-коммунальное хозяйство</w:t>
            </w:r>
          </w:p>
        </w:tc>
        <w:tc>
          <w:tcPr>
            <w:tcW w:w="2408" w:type="dxa"/>
            <w:noWrap/>
            <w:vAlign w:val="bottom"/>
          </w:tcPr>
          <w:p w14:paraId="7D07B9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818 088,44 </w:t>
            </w:r>
          </w:p>
        </w:tc>
        <w:tc>
          <w:tcPr>
            <w:tcW w:w="1372" w:type="dxa"/>
            <w:noWrap/>
            <w:vAlign w:val="bottom"/>
          </w:tcPr>
          <w:p w14:paraId="661FA5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828 617,94 </w:t>
            </w:r>
          </w:p>
        </w:tc>
        <w:tc>
          <w:tcPr>
            <w:tcW w:w="1757" w:type="dxa"/>
            <w:noWrap/>
            <w:vAlign w:val="bottom"/>
          </w:tcPr>
          <w:p w14:paraId="68C605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10 529,50 </w:t>
            </w:r>
          </w:p>
        </w:tc>
        <w:tc>
          <w:tcPr>
            <w:tcW w:w="1116" w:type="dxa"/>
            <w:noWrap/>
            <w:vAlign w:val="bottom"/>
          </w:tcPr>
          <w:p w14:paraId="27205B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1,3 </w:t>
            </w:r>
          </w:p>
        </w:tc>
      </w:tr>
      <w:tr w14:paraId="56FB72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3" w:type="dxa"/>
            <w:noWrap/>
          </w:tcPr>
          <w:p w14:paraId="061041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val="en-US" w:eastAsia="zh-CN"/>
              </w:rPr>
              <w:t xml:space="preserve">Образование </w:t>
            </w:r>
          </w:p>
        </w:tc>
        <w:tc>
          <w:tcPr>
            <w:tcW w:w="2408" w:type="dxa"/>
            <w:noWrap/>
            <w:vAlign w:val="bottom"/>
          </w:tcPr>
          <w:p w14:paraId="66A625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1 981 464,79 </w:t>
            </w:r>
          </w:p>
        </w:tc>
        <w:tc>
          <w:tcPr>
            <w:tcW w:w="1372" w:type="dxa"/>
            <w:noWrap/>
            <w:vAlign w:val="bottom"/>
          </w:tcPr>
          <w:p w14:paraId="0A0E22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1 989 318,35 </w:t>
            </w:r>
          </w:p>
        </w:tc>
        <w:tc>
          <w:tcPr>
            <w:tcW w:w="1757" w:type="dxa"/>
            <w:noWrap/>
            <w:vAlign w:val="bottom"/>
          </w:tcPr>
          <w:p w14:paraId="7C57A4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7 853,56 </w:t>
            </w:r>
          </w:p>
        </w:tc>
        <w:tc>
          <w:tcPr>
            <w:tcW w:w="1116" w:type="dxa"/>
            <w:noWrap/>
            <w:vAlign w:val="bottom"/>
          </w:tcPr>
          <w:p w14:paraId="166937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0,4 </w:t>
            </w:r>
          </w:p>
        </w:tc>
      </w:tr>
      <w:tr w14:paraId="316706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  <w:jc w:val="center"/>
        </w:trPr>
        <w:tc>
          <w:tcPr>
            <w:tcW w:w="2803" w:type="dxa"/>
            <w:noWrap/>
          </w:tcPr>
          <w:p w14:paraId="76F015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val="en-US" w:eastAsia="zh-CN"/>
              </w:rPr>
              <w:t>Культура, кинематография</w:t>
            </w:r>
          </w:p>
        </w:tc>
        <w:tc>
          <w:tcPr>
            <w:tcW w:w="2408" w:type="dxa"/>
            <w:noWrap/>
            <w:vAlign w:val="bottom"/>
          </w:tcPr>
          <w:p w14:paraId="49E8CE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234 101,28 </w:t>
            </w:r>
          </w:p>
        </w:tc>
        <w:tc>
          <w:tcPr>
            <w:tcW w:w="1372" w:type="dxa"/>
            <w:noWrap/>
            <w:vAlign w:val="bottom"/>
          </w:tcPr>
          <w:p w14:paraId="7B3D6A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235 101,28 </w:t>
            </w:r>
          </w:p>
        </w:tc>
        <w:tc>
          <w:tcPr>
            <w:tcW w:w="1757" w:type="dxa"/>
            <w:noWrap/>
            <w:vAlign w:val="bottom"/>
          </w:tcPr>
          <w:p w14:paraId="6DD7B1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1 000,00 </w:t>
            </w:r>
          </w:p>
        </w:tc>
        <w:tc>
          <w:tcPr>
            <w:tcW w:w="1116" w:type="dxa"/>
            <w:noWrap/>
            <w:vAlign w:val="bottom"/>
          </w:tcPr>
          <w:p w14:paraId="68BB38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0,4 </w:t>
            </w:r>
          </w:p>
        </w:tc>
      </w:tr>
      <w:tr w14:paraId="1B722F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  <w:jc w:val="center"/>
        </w:trPr>
        <w:tc>
          <w:tcPr>
            <w:tcW w:w="2803" w:type="dxa"/>
            <w:noWrap/>
          </w:tcPr>
          <w:p w14:paraId="0C0AF0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top"/>
              <w:rPr>
                <w:rFonts w:hint="default" w:ascii="Times New Roman" w:hAnsi="Times New Roman" w:eastAsia="SimSun"/>
                <w:color w:val="000000"/>
                <w:sz w:val="20"/>
                <w:szCs w:val="20"/>
                <w:lang w:val="ru-RU" w:eastAsia="zh-CN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val="ru-RU" w:eastAsia="zh-CN"/>
              </w:rPr>
              <w:t>Здравохранение</w:t>
            </w:r>
            <w:r>
              <w:rPr>
                <w:rFonts w:hint="default" w:ascii="Times New Roman" w:hAnsi="Times New Roman" w:eastAsia="SimSun"/>
                <w:color w:val="000000"/>
                <w:sz w:val="20"/>
                <w:szCs w:val="20"/>
                <w:lang w:val="ru-RU" w:eastAsia="zh-CN"/>
              </w:rPr>
              <w:t xml:space="preserve"> </w:t>
            </w:r>
          </w:p>
        </w:tc>
        <w:tc>
          <w:tcPr>
            <w:tcW w:w="2408" w:type="dxa"/>
            <w:noWrap/>
            <w:vAlign w:val="bottom"/>
          </w:tcPr>
          <w:p w14:paraId="661BFF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500,00 </w:t>
            </w:r>
          </w:p>
        </w:tc>
        <w:tc>
          <w:tcPr>
            <w:tcW w:w="1372" w:type="dxa"/>
            <w:noWrap/>
            <w:vAlign w:val="bottom"/>
          </w:tcPr>
          <w:p w14:paraId="56AEB6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500,00 </w:t>
            </w:r>
          </w:p>
        </w:tc>
        <w:tc>
          <w:tcPr>
            <w:tcW w:w="1757" w:type="dxa"/>
            <w:noWrap/>
            <w:vAlign w:val="bottom"/>
          </w:tcPr>
          <w:p w14:paraId="0B8064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1116" w:type="dxa"/>
            <w:noWrap/>
            <w:vAlign w:val="bottom"/>
          </w:tcPr>
          <w:p w14:paraId="30C83C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100,0 </w:t>
            </w:r>
          </w:p>
        </w:tc>
      </w:tr>
      <w:tr w14:paraId="189A96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2803" w:type="dxa"/>
            <w:noWrap/>
          </w:tcPr>
          <w:p w14:paraId="445FB2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val="en-US" w:eastAsia="zh-CN"/>
              </w:rPr>
              <w:t>Социальная политика</w:t>
            </w:r>
          </w:p>
        </w:tc>
        <w:tc>
          <w:tcPr>
            <w:tcW w:w="2408" w:type="dxa"/>
            <w:noWrap/>
            <w:vAlign w:val="bottom"/>
          </w:tcPr>
          <w:p w14:paraId="328F73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114 615,21 </w:t>
            </w:r>
          </w:p>
        </w:tc>
        <w:tc>
          <w:tcPr>
            <w:tcW w:w="1372" w:type="dxa"/>
            <w:noWrap/>
            <w:vAlign w:val="bottom"/>
          </w:tcPr>
          <w:p w14:paraId="3FC947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115 321,21 </w:t>
            </w:r>
          </w:p>
        </w:tc>
        <w:tc>
          <w:tcPr>
            <w:tcW w:w="1757" w:type="dxa"/>
            <w:noWrap/>
            <w:vAlign w:val="bottom"/>
          </w:tcPr>
          <w:p w14:paraId="50FB75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706,00 </w:t>
            </w:r>
          </w:p>
        </w:tc>
        <w:tc>
          <w:tcPr>
            <w:tcW w:w="1116" w:type="dxa"/>
            <w:noWrap/>
            <w:vAlign w:val="bottom"/>
          </w:tcPr>
          <w:p w14:paraId="606E62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0,6 </w:t>
            </w:r>
          </w:p>
        </w:tc>
      </w:tr>
      <w:tr w14:paraId="4A787D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3" w:type="dxa"/>
            <w:noWrap/>
          </w:tcPr>
          <w:p w14:paraId="2F2622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top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val="en-US" w:eastAsia="zh-CN"/>
              </w:rPr>
              <w:t>Физическая культура и спорт</w:t>
            </w:r>
          </w:p>
        </w:tc>
        <w:tc>
          <w:tcPr>
            <w:tcW w:w="2408" w:type="dxa"/>
            <w:noWrap/>
            <w:vAlign w:val="bottom"/>
          </w:tcPr>
          <w:p w14:paraId="5A9FB0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149 552,42 </w:t>
            </w:r>
          </w:p>
        </w:tc>
        <w:tc>
          <w:tcPr>
            <w:tcW w:w="1372" w:type="dxa"/>
            <w:noWrap/>
            <w:vAlign w:val="bottom"/>
          </w:tcPr>
          <w:p w14:paraId="2CC7B1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149 552,42 </w:t>
            </w:r>
          </w:p>
        </w:tc>
        <w:tc>
          <w:tcPr>
            <w:tcW w:w="1757" w:type="dxa"/>
            <w:noWrap/>
            <w:vAlign w:val="bottom"/>
          </w:tcPr>
          <w:p w14:paraId="5E7FFE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1116" w:type="dxa"/>
            <w:noWrap/>
            <w:vAlign w:val="bottom"/>
          </w:tcPr>
          <w:p w14:paraId="4DE268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 </w:t>
            </w:r>
          </w:p>
        </w:tc>
      </w:tr>
      <w:tr w14:paraId="50A1A9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3" w:type="dxa"/>
            <w:noWrap/>
          </w:tcPr>
          <w:p w14:paraId="494703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val="en-US" w:eastAsia="zh-CN"/>
              </w:rPr>
              <w:t>Средства массовой информации</w:t>
            </w:r>
          </w:p>
        </w:tc>
        <w:tc>
          <w:tcPr>
            <w:tcW w:w="2408" w:type="dxa"/>
            <w:noWrap/>
            <w:vAlign w:val="bottom"/>
          </w:tcPr>
          <w:p w14:paraId="134E28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7 884,49 </w:t>
            </w:r>
          </w:p>
        </w:tc>
        <w:tc>
          <w:tcPr>
            <w:tcW w:w="1372" w:type="dxa"/>
            <w:noWrap/>
            <w:vAlign w:val="bottom"/>
          </w:tcPr>
          <w:p w14:paraId="24FB65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8 029,28 </w:t>
            </w:r>
          </w:p>
        </w:tc>
        <w:tc>
          <w:tcPr>
            <w:tcW w:w="1757" w:type="dxa"/>
            <w:noWrap/>
            <w:vAlign w:val="bottom"/>
          </w:tcPr>
          <w:p w14:paraId="05E809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144,79 </w:t>
            </w:r>
          </w:p>
        </w:tc>
        <w:tc>
          <w:tcPr>
            <w:tcW w:w="1116" w:type="dxa"/>
            <w:noWrap/>
            <w:vAlign w:val="bottom"/>
          </w:tcPr>
          <w:p w14:paraId="14335F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1,8 </w:t>
            </w:r>
          </w:p>
        </w:tc>
      </w:tr>
      <w:tr w14:paraId="60D670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  <w:jc w:val="center"/>
        </w:trPr>
        <w:tc>
          <w:tcPr>
            <w:tcW w:w="2803" w:type="dxa"/>
            <w:noWrap/>
          </w:tcPr>
          <w:p w14:paraId="29EAA2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textAlignment w:val="top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SimSun"/>
                <w:b/>
                <w:bCs/>
                <w:color w:val="000000"/>
                <w:sz w:val="20"/>
                <w:szCs w:val="20"/>
                <w:lang w:val="en-US" w:eastAsia="zh-CN"/>
              </w:rPr>
              <w:t>Всего расходов</w:t>
            </w:r>
          </w:p>
        </w:tc>
        <w:tc>
          <w:tcPr>
            <w:tcW w:w="2408" w:type="dxa"/>
            <w:noWrap/>
            <w:vAlign w:val="bottom"/>
          </w:tcPr>
          <w:p w14:paraId="141383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3 893 580,93 </w:t>
            </w:r>
          </w:p>
        </w:tc>
        <w:tc>
          <w:tcPr>
            <w:tcW w:w="1372" w:type="dxa"/>
            <w:noWrap/>
            <w:vAlign w:val="bottom"/>
          </w:tcPr>
          <w:p w14:paraId="49C73F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3 990 189,96 </w:t>
            </w:r>
          </w:p>
        </w:tc>
        <w:tc>
          <w:tcPr>
            <w:tcW w:w="1757" w:type="dxa"/>
            <w:noWrap/>
            <w:vAlign w:val="bottom"/>
          </w:tcPr>
          <w:p w14:paraId="579CAE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96 609,03 </w:t>
            </w:r>
          </w:p>
        </w:tc>
        <w:tc>
          <w:tcPr>
            <w:tcW w:w="1116" w:type="dxa"/>
            <w:noWrap/>
            <w:vAlign w:val="bottom"/>
          </w:tcPr>
          <w:p w14:paraId="0E21E3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2,5 </w:t>
            </w:r>
          </w:p>
        </w:tc>
      </w:tr>
    </w:tbl>
    <w:p w14:paraId="02F172D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В соответствии с рассматриваемым проектом решения предлагается изменить расходную часть бюджета на </w:t>
      </w:r>
      <w:r>
        <w:rPr>
          <w:rFonts w:hint="default" w:ascii="Times New Roman" w:hAnsi="Times New Roman"/>
          <w:sz w:val="26"/>
          <w:szCs w:val="26"/>
          <w:lang w:val="ru-RU"/>
        </w:rPr>
        <w:t>96 609,03</w:t>
      </w:r>
      <w:r>
        <w:rPr>
          <w:rFonts w:hint="default" w:ascii="Times New Roman" w:hAnsi="Times New Roman" w:eastAsia="SimSun" w:cs="Times New Roman"/>
          <w:i w:val="0"/>
          <w:iCs w:val="0"/>
          <w:color w:val="000000"/>
          <w:kern w:val="0"/>
          <w:sz w:val="26"/>
          <w:szCs w:val="26"/>
          <w:u w:val="none"/>
          <w:lang w:val="en-US" w:eastAsia="zh-CN" w:bidi="ar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тыс. рублей, увеличив на сумму </w:t>
      </w:r>
      <w:r>
        <w:rPr>
          <w:rFonts w:hint="default" w:ascii="Times New Roman" w:hAnsi="Times New Roman" w:eastAsia="SimSun" w:cs="Times New Roman"/>
          <w:i w:val="0"/>
          <w:iCs w:val="0"/>
          <w:color w:val="000000"/>
          <w:kern w:val="0"/>
          <w:sz w:val="26"/>
          <w:szCs w:val="26"/>
          <w:u w:val="none"/>
          <w:lang w:val="en-US" w:eastAsia="zh-CN" w:bidi="ar"/>
        </w:rPr>
        <w:t>98 781</w:t>
      </w:r>
      <w:r>
        <w:rPr>
          <w:rFonts w:hint="default" w:ascii="Times New Roman" w:hAnsi="Times New Roman" w:eastAsia="SimSun" w:cs="Times New Roman"/>
          <w:i w:val="0"/>
          <w:iCs w:val="0"/>
          <w:color w:val="000000"/>
          <w:kern w:val="0"/>
          <w:sz w:val="26"/>
          <w:szCs w:val="26"/>
          <w:u w:val="none"/>
          <w:lang w:val="ru-RU" w:eastAsia="zh-CN" w:bidi="ar"/>
        </w:rPr>
        <w:t>,</w:t>
      </w:r>
      <w:r>
        <w:rPr>
          <w:rFonts w:hint="default" w:ascii="Times New Roman" w:hAnsi="Times New Roman" w:eastAsia="SimSun" w:cs="Times New Roman"/>
          <w:i w:val="0"/>
          <w:iCs w:val="0"/>
          <w:color w:val="000000"/>
          <w:kern w:val="0"/>
          <w:sz w:val="26"/>
          <w:szCs w:val="26"/>
          <w:u w:val="none"/>
          <w:lang w:val="en-US" w:eastAsia="zh-CN" w:bidi="ar"/>
        </w:rPr>
        <w:t>83</w:t>
      </w:r>
      <w:r>
        <w:rPr>
          <w:rFonts w:hint="default" w:ascii="Times New Roman" w:hAnsi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тыс. рублей, сократив на сумму </w:t>
      </w:r>
      <w:r>
        <w:rPr>
          <w:rFonts w:hint="default" w:ascii="Times New Roman" w:hAnsi="Times New Roman"/>
          <w:sz w:val="26"/>
          <w:szCs w:val="26"/>
          <w:lang w:val="ru-RU"/>
        </w:rPr>
        <w:t>2 172,80</w:t>
      </w:r>
      <w:r>
        <w:rPr>
          <w:rFonts w:ascii="Times New Roman" w:hAnsi="Times New Roman"/>
          <w:sz w:val="26"/>
          <w:szCs w:val="26"/>
        </w:rPr>
        <w:t xml:space="preserve"> тыс. рублей.</w:t>
      </w:r>
    </w:p>
    <w:p w14:paraId="1BFE3C5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Информация об изменениях финансового обеспечения муниципальных программ Богородского муниципального округа Нижегородской области на 2026 год представлена в таблице.</w:t>
      </w:r>
    </w:p>
    <w:p w14:paraId="31E134A1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тыс. рублей</w:t>
      </w:r>
    </w:p>
    <w:tbl>
      <w:tblPr>
        <w:tblStyle w:val="3"/>
        <w:tblW w:w="964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4274"/>
        <w:gridCol w:w="1547"/>
        <w:gridCol w:w="1288"/>
        <w:gridCol w:w="1276"/>
        <w:gridCol w:w="808"/>
      </w:tblGrid>
      <w:tr w14:paraId="51DAED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3" w:hRule="atLeast"/>
        </w:trPr>
        <w:tc>
          <w:tcPr>
            <w:tcW w:w="456" w:type="dxa"/>
            <w:noWrap/>
            <w:vAlign w:val="center"/>
          </w:tcPr>
          <w:p w14:paraId="3F4B8A0F">
            <w:pPr>
              <w:spacing w:after="0" w:line="240" w:lineRule="auto"/>
              <w:jc w:val="both"/>
              <w:rPr>
                <w:rFonts w:ascii="Times New Roman" w:hAnsi="Times New Roman" w:eastAsiaTheme="minorEastAsia"/>
                <w:color w:val="auto"/>
                <w:sz w:val="20"/>
                <w:szCs w:val="20"/>
              </w:rPr>
            </w:pPr>
          </w:p>
        </w:tc>
        <w:tc>
          <w:tcPr>
            <w:tcW w:w="4274" w:type="dxa"/>
            <w:noWrap/>
            <w:vAlign w:val="center"/>
          </w:tcPr>
          <w:p w14:paraId="5F0F43DF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color w:val="auto"/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1547" w:type="dxa"/>
            <w:noWrap/>
            <w:vAlign w:val="center"/>
          </w:tcPr>
          <w:p w14:paraId="00AA65E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 xml:space="preserve">Решение от </w:t>
            </w:r>
            <w:r>
              <w:rPr>
                <w:rFonts w:hint="default" w:ascii="Times New Roman" w:hAnsi="Times New Roman"/>
                <w:color w:val="auto"/>
                <w:sz w:val="20"/>
                <w:szCs w:val="20"/>
                <w:lang w:val="ru-RU"/>
              </w:rPr>
              <w:t>11</w:t>
            </w:r>
            <w:r>
              <w:rPr>
                <w:rFonts w:ascii="Times New Roman" w:hAnsi="Times New Roman"/>
                <w:color w:val="auto"/>
                <w:sz w:val="20"/>
                <w:szCs w:val="20"/>
              </w:rPr>
              <w:t>.12.2025 № 1</w:t>
            </w:r>
            <w:r>
              <w:rPr>
                <w:rFonts w:hint="default" w:ascii="Times New Roman" w:hAnsi="Times New Roman"/>
                <w:color w:val="auto"/>
                <w:sz w:val="20"/>
                <w:szCs w:val="20"/>
                <w:lang w:val="ru-RU"/>
              </w:rPr>
              <w:t>48</w:t>
            </w: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 xml:space="preserve"> (в редакции решения от 19.0</w:t>
            </w:r>
            <w:r>
              <w:rPr>
                <w:rFonts w:hint="default" w:ascii="Times New Roman" w:hAnsi="Times New Roman"/>
                <w:bCs/>
                <w:color w:val="auto"/>
                <w:sz w:val="18"/>
                <w:szCs w:val="18"/>
                <w:lang w:val="ru-RU"/>
              </w:rPr>
              <w:t>2</w:t>
            </w: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.202</w:t>
            </w:r>
            <w:r>
              <w:rPr>
                <w:rFonts w:hint="default" w:ascii="Times New Roman" w:hAnsi="Times New Roman"/>
                <w:bCs/>
                <w:color w:val="auto"/>
                <w:sz w:val="18"/>
                <w:szCs w:val="18"/>
                <w:lang w:val="ru-RU"/>
              </w:rPr>
              <w:t>6</w:t>
            </w: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 xml:space="preserve"> № </w:t>
            </w:r>
            <w:r>
              <w:rPr>
                <w:rFonts w:hint="default" w:ascii="Times New Roman" w:hAnsi="Times New Roman"/>
                <w:bCs/>
                <w:color w:val="auto"/>
                <w:sz w:val="18"/>
                <w:szCs w:val="18"/>
                <w:lang w:val="ru-RU"/>
              </w:rPr>
              <w:t>8</w:t>
            </w: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)</w:t>
            </w:r>
          </w:p>
        </w:tc>
        <w:tc>
          <w:tcPr>
            <w:tcW w:w="1288" w:type="dxa"/>
            <w:noWrap/>
            <w:vAlign w:val="center"/>
          </w:tcPr>
          <w:p w14:paraId="77125F1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color w:val="auto"/>
                <w:sz w:val="20"/>
                <w:szCs w:val="20"/>
              </w:rPr>
              <w:t>Проект решения</w:t>
            </w:r>
          </w:p>
        </w:tc>
        <w:tc>
          <w:tcPr>
            <w:tcW w:w="1276" w:type="dxa"/>
            <w:noWrap/>
            <w:vAlign w:val="center"/>
          </w:tcPr>
          <w:p w14:paraId="3917C9B6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color w:val="auto"/>
                <w:sz w:val="20"/>
                <w:szCs w:val="20"/>
              </w:rPr>
              <w:t>Изменения к утвержденному решению</w:t>
            </w:r>
          </w:p>
        </w:tc>
        <w:tc>
          <w:tcPr>
            <w:tcW w:w="808" w:type="dxa"/>
            <w:noWrap/>
            <w:vAlign w:val="center"/>
          </w:tcPr>
          <w:p w14:paraId="04857A2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color w:val="auto"/>
                <w:sz w:val="20"/>
                <w:szCs w:val="20"/>
              </w:rPr>
              <w:t>% изменения</w:t>
            </w:r>
          </w:p>
        </w:tc>
      </w:tr>
      <w:tr w14:paraId="484EE6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456" w:type="dxa"/>
            <w:noWrap/>
            <w:vAlign w:val="center"/>
          </w:tcPr>
          <w:p w14:paraId="106E89B0">
            <w:pPr>
              <w:spacing w:after="0" w:line="240" w:lineRule="auto"/>
              <w:jc w:val="both"/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  <w:t>1</w:t>
            </w:r>
          </w:p>
        </w:tc>
        <w:tc>
          <w:tcPr>
            <w:tcW w:w="4274" w:type="dxa"/>
            <w:noWrap/>
            <w:vAlign w:val="center"/>
          </w:tcPr>
          <w:p w14:paraId="0BC56508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auto"/>
                <w:sz w:val="20"/>
                <w:szCs w:val="20"/>
                <w:lang w:eastAsia="zh-CN"/>
              </w:rPr>
              <w:t>«Развитие образования Богородского муниципального округа Нижегородской области»</w:t>
            </w:r>
          </w:p>
        </w:tc>
        <w:tc>
          <w:tcPr>
            <w:tcW w:w="1547" w:type="dxa"/>
            <w:noWrap/>
            <w:vAlign w:val="center"/>
          </w:tcPr>
          <w:p w14:paraId="4C3C9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918 691,37</w:t>
            </w:r>
          </w:p>
        </w:tc>
        <w:tc>
          <w:tcPr>
            <w:tcW w:w="1288" w:type="dxa"/>
            <w:noWrap/>
            <w:vAlign w:val="center"/>
          </w:tcPr>
          <w:p w14:paraId="5CD08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926 532,38</w:t>
            </w:r>
          </w:p>
        </w:tc>
        <w:tc>
          <w:tcPr>
            <w:tcW w:w="1276" w:type="dxa"/>
            <w:noWrap/>
            <w:vAlign w:val="center"/>
          </w:tcPr>
          <w:p w14:paraId="47C6C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7 841,01</w:t>
            </w:r>
          </w:p>
        </w:tc>
        <w:tc>
          <w:tcPr>
            <w:tcW w:w="808" w:type="dxa"/>
            <w:noWrap/>
            <w:vAlign w:val="center"/>
          </w:tcPr>
          <w:p w14:paraId="0837B6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0,4</w:t>
            </w:r>
          </w:p>
        </w:tc>
      </w:tr>
      <w:tr w14:paraId="59629C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noWrap/>
            <w:vAlign w:val="center"/>
          </w:tcPr>
          <w:p w14:paraId="28CAA212">
            <w:pPr>
              <w:spacing w:after="0" w:line="240" w:lineRule="auto"/>
              <w:jc w:val="both"/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  <w:t>2</w:t>
            </w:r>
          </w:p>
        </w:tc>
        <w:tc>
          <w:tcPr>
            <w:tcW w:w="4274" w:type="dxa"/>
            <w:noWrap/>
            <w:vAlign w:val="center"/>
          </w:tcPr>
          <w:p w14:paraId="2B69557E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auto"/>
                <w:sz w:val="20"/>
                <w:szCs w:val="20"/>
                <w:lang w:eastAsia="zh-CN"/>
              </w:rPr>
              <w:t>«Социальная поддержка граждан Богородского муниципального округа Нижегородской области»</w:t>
            </w:r>
          </w:p>
        </w:tc>
        <w:tc>
          <w:tcPr>
            <w:tcW w:w="1547" w:type="dxa"/>
            <w:noWrap/>
            <w:vAlign w:val="center"/>
          </w:tcPr>
          <w:p w14:paraId="40AA0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27 941,85</w:t>
            </w:r>
          </w:p>
        </w:tc>
        <w:tc>
          <w:tcPr>
            <w:tcW w:w="1288" w:type="dxa"/>
            <w:noWrap/>
            <w:vAlign w:val="center"/>
          </w:tcPr>
          <w:p w14:paraId="3518F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28 647,85</w:t>
            </w:r>
          </w:p>
        </w:tc>
        <w:tc>
          <w:tcPr>
            <w:tcW w:w="1276" w:type="dxa"/>
            <w:noWrap/>
            <w:vAlign w:val="center"/>
          </w:tcPr>
          <w:p w14:paraId="46E32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706,00</w:t>
            </w:r>
          </w:p>
        </w:tc>
        <w:tc>
          <w:tcPr>
            <w:tcW w:w="808" w:type="dxa"/>
            <w:noWrap/>
            <w:vAlign w:val="center"/>
          </w:tcPr>
          <w:p w14:paraId="646B48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2,5</w:t>
            </w:r>
          </w:p>
        </w:tc>
      </w:tr>
      <w:tr w14:paraId="239102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noWrap/>
            <w:vAlign w:val="center"/>
          </w:tcPr>
          <w:p w14:paraId="1014D1CE">
            <w:pPr>
              <w:spacing w:after="0" w:line="240" w:lineRule="auto"/>
              <w:jc w:val="both"/>
              <w:rPr>
                <w:rFonts w:hint="default" w:ascii="Times New Roman" w:hAnsi="Times New Roman" w:eastAsia="SimSun"/>
                <w:color w:val="auto"/>
                <w:sz w:val="20"/>
                <w:szCs w:val="20"/>
                <w:highlight w:val="none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color w:val="auto"/>
                <w:sz w:val="20"/>
                <w:szCs w:val="20"/>
                <w:highlight w:val="none"/>
                <w:lang w:val="ru-RU" w:eastAsia="zh-CN"/>
              </w:rPr>
              <w:t>3</w:t>
            </w:r>
          </w:p>
        </w:tc>
        <w:tc>
          <w:tcPr>
            <w:tcW w:w="4274" w:type="dxa"/>
            <w:noWrap/>
            <w:vAlign w:val="center"/>
          </w:tcPr>
          <w:p w14:paraId="7BCCD640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SimSun"/>
                <w:color w:val="auto"/>
                <w:sz w:val="20"/>
                <w:szCs w:val="20"/>
                <w:highlight w:val="none"/>
                <w:lang w:eastAsia="zh-CN"/>
              </w:rPr>
              <w:t>«Обеспечение населения Богородского муниципального округа Нижегородской области доступным и комфортным жильем»</w:t>
            </w:r>
          </w:p>
        </w:tc>
        <w:tc>
          <w:tcPr>
            <w:tcW w:w="1547" w:type="dxa"/>
            <w:noWrap/>
            <w:vAlign w:val="center"/>
          </w:tcPr>
          <w:p w14:paraId="455FA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74 265,99</w:t>
            </w:r>
          </w:p>
        </w:tc>
        <w:tc>
          <w:tcPr>
            <w:tcW w:w="1288" w:type="dxa"/>
            <w:noWrap/>
            <w:vAlign w:val="center"/>
          </w:tcPr>
          <w:p w14:paraId="22DAE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72 767,22</w:t>
            </w:r>
          </w:p>
        </w:tc>
        <w:tc>
          <w:tcPr>
            <w:tcW w:w="1276" w:type="dxa"/>
            <w:noWrap/>
            <w:vAlign w:val="center"/>
          </w:tcPr>
          <w:p w14:paraId="120F0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1 498,77</w:t>
            </w:r>
          </w:p>
        </w:tc>
        <w:tc>
          <w:tcPr>
            <w:tcW w:w="808" w:type="dxa"/>
            <w:noWrap/>
            <w:vAlign w:val="center"/>
          </w:tcPr>
          <w:p w14:paraId="49D40B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2,0</w:t>
            </w:r>
          </w:p>
        </w:tc>
      </w:tr>
      <w:tr w14:paraId="36AE8D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noWrap/>
            <w:vAlign w:val="center"/>
          </w:tcPr>
          <w:p w14:paraId="557780B6">
            <w:pPr>
              <w:spacing w:after="0" w:line="240" w:lineRule="auto"/>
              <w:jc w:val="both"/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  <w:t>4</w:t>
            </w:r>
          </w:p>
        </w:tc>
        <w:tc>
          <w:tcPr>
            <w:tcW w:w="4274" w:type="dxa"/>
            <w:noWrap/>
            <w:vAlign w:val="center"/>
          </w:tcPr>
          <w:p w14:paraId="4C25B083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auto"/>
                <w:sz w:val="20"/>
                <w:szCs w:val="20"/>
                <w:lang w:eastAsia="zh-CN"/>
              </w:rPr>
              <w:t>«Развитие культуры в Богородском муниципальном округе Нижегородской области»</w:t>
            </w:r>
          </w:p>
        </w:tc>
        <w:tc>
          <w:tcPr>
            <w:tcW w:w="1547" w:type="dxa"/>
            <w:noWrap/>
            <w:vAlign w:val="center"/>
          </w:tcPr>
          <w:p w14:paraId="074DB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300 832,32</w:t>
            </w:r>
          </w:p>
        </w:tc>
        <w:tc>
          <w:tcPr>
            <w:tcW w:w="1288" w:type="dxa"/>
            <w:noWrap/>
            <w:vAlign w:val="center"/>
          </w:tcPr>
          <w:p w14:paraId="5F4CF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301 832,32</w:t>
            </w:r>
          </w:p>
        </w:tc>
        <w:tc>
          <w:tcPr>
            <w:tcW w:w="1276" w:type="dxa"/>
            <w:noWrap/>
            <w:vAlign w:val="center"/>
          </w:tcPr>
          <w:p w14:paraId="0F532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1 000,00</w:t>
            </w:r>
          </w:p>
        </w:tc>
        <w:tc>
          <w:tcPr>
            <w:tcW w:w="808" w:type="dxa"/>
            <w:noWrap/>
            <w:vAlign w:val="center"/>
          </w:tcPr>
          <w:p w14:paraId="2BFC03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0,3</w:t>
            </w:r>
          </w:p>
        </w:tc>
      </w:tr>
      <w:tr w14:paraId="61273A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noWrap/>
            <w:vAlign w:val="center"/>
          </w:tcPr>
          <w:p w14:paraId="48704DA4">
            <w:pPr>
              <w:spacing w:after="0" w:line="240" w:lineRule="auto"/>
              <w:jc w:val="both"/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  <w:t>5</w:t>
            </w:r>
          </w:p>
        </w:tc>
        <w:tc>
          <w:tcPr>
            <w:tcW w:w="4274" w:type="dxa"/>
            <w:noWrap/>
            <w:vAlign w:val="center"/>
          </w:tcPr>
          <w:p w14:paraId="63B149DE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auto"/>
                <w:sz w:val="20"/>
                <w:szCs w:val="20"/>
                <w:lang w:eastAsia="zh-CN"/>
              </w:rPr>
              <w:t>«Развитие физической культуры и спорта в Богородском муниципальном округе Нижегородской области»</w:t>
            </w:r>
          </w:p>
        </w:tc>
        <w:tc>
          <w:tcPr>
            <w:tcW w:w="1547" w:type="dxa"/>
            <w:noWrap/>
            <w:vAlign w:val="center"/>
          </w:tcPr>
          <w:p w14:paraId="7D833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138 964,62</w:t>
            </w:r>
          </w:p>
        </w:tc>
        <w:tc>
          <w:tcPr>
            <w:tcW w:w="1288" w:type="dxa"/>
            <w:noWrap/>
            <w:vAlign w:val="center"/>
          </w:tcPr>
          <w:p w14:paraId="025D4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138 964,62</w:t>
            </w:r>
          </w:p>
        </w:tc>
        <w:tc>
          <w:tcPr>
            <w:tcW w:w="1276" w:type="dxa"/>
            <w:noWrap/>
            <w:vAlign w:val="center"/>
          </w:tcPr>
          <w:p w14:paraId="55CBE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808" w:type="dxa"/>
            <w:noWrap/>
            <w:vAlign w:val="center"/>
          </w:tcPr>
          <w:p w14:paraId="3DF853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</w:t>
            </w:r>
          </w:p>
        </w:tc>
      </w:tr>
      <w:tr w14:paraId="23ADD7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noWrap/>
            <w:vAlign w:val="center"/>
          </w:tcPr>
          <w:p w14:paraId="25D67F0D">
            <w:pPr>
              <w:spacing w:after="0" w:line="240" w:lineRule="auto"/>
              <w:jc w:val="both"/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  <w:t>6</w:t>
            </w:r>
          </w:p>
        </w:tc>
        <w:tc>
          <w:tcPr>
            <w:tcW w:w="4274" w:type="dxa"/>
            <w:noWrap/>
            <w:vAlign w:val="center"/>
          </w:tcPr>
          <w:p w14:paraId="0D6FC888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auto"/>
                <w:sz w:val="20"/>
                <w:szCs w:val="20"/>
                <w:lang w:eastAsia="zh-CN"/>
              </w:rPr>
              <w:t>«Развитие агропромышленного комплекса Богородского муниципального округа Нижегородской области»</w:t>
            </w:r>
          </w:p>
        </w:tc>
        <w:tc>
          <w:tcPr>
            <w:tcW w:w="1547" w:type="dxa"/>
            <w:noWrap/>
            <w:vAlign w:val="center"/>
          </w:tcPr>
          <w:p w14:paraId="1B02E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27 794,71</w:t>
            </w:r>
          </w:p>
        </w:tc>
        <w:tc>
          <w:tcPr>
            <w:tcW w:w="1288" w:type="dxa"/>
            <w:noWrap/>
            <w:vAlign w:val="center"/>
          </w:tcPr>
          <w:p w14:paraId="7D7D5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27 987,51</w:t>
            </w:r>
          </w:p>
        </w:tc>
        <w:tc>
          <w:tcPr>
            <w:tcW w:w="1276" w:type="dxa"/>
            <w:noWrap/>
            <w:vAlign w:val="center"/>
          </w:tcPr>
          <w:p w14:paraId="3AD5E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192,80</w:t>
            </w:r>
          </w:p>
        </w:tc>
        <w:tc>
          <w:tcPr>
            <w:tcW w:w="808" w:type="dxa"/>
            <w:noWrap/>
            <w:vAlign w:val="center"/>
          </w:tcPr>
          <w:p w14:paraId="6CBB80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ru-RU" w:eastAsia="zh-CN" w:bidi="ar"/>
              </w:rPr>
              <w:t>7</w:t>
            </w:r>
          </w:p>
        </w:tc>
      </w:tr>
      <w:tr w14:paraId="27033B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noWrap/>
            <w:vAlign w:val="center"/>
          </w:tcPr>
          <w:p w14:paraId="32D81D21">
            <w:pPr>
              <w:spacing w:after="0" w:line="240" w:lineRule="auto"/>
              <w:jc w:val="both"/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  <w:t>7</w:t>
            </w:r>
          </w:p>
        </w:tc>
        <w:tc>
          <w:tcPr>
            <w:tcW w:w="4274" w:type="dxa"/>
            <w:noWrap/>
            <w:vAlign w:val="center"/>
          </w:tcPr>
          <w:p w14:paraId="6521339E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auto"/>
                <w:sz w:val="20"/>
                <w:szCs w:val="20"/>
                <w:lang w:eastAsia="zh-CN"/>
              </w:rPr>
              <w:t>«Управление муниципальными финансами и муниципальным долгом Богородского муниципального округа Нижегородской области»</w:t>
            </w:r>
          </w:p>
        </w:tc>
        <w:tc>
          <w:tcPr>
            <w:tcW w:w="1547" w:type="dxa"/>
            <w:noWrap/>
            <w:vAlign w:val="center"/>
          </w:tcPr>
          <w:p w14:paraId="2B097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99 916,73</w:t>
            </w:r>
          </w:p>
        </w:tc>
        <w:tc>
          <w:tcPr>
            <w:tcW w:w="1288" w:type="dxa"/>
            <w:noWrap/>
            <w:vAlign w:val="center"/>
          </w:tcPr>
          <w:p w14:paraId="606D4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99 210,73</w:t>
            </w:r>
          </w:p>
        </w:tc>
        <w:tc>
          <w:tcPr>
            <w:tcW w:w="1276" w:type="dxa"/>
            <w:noWrap/>
            <w:vAlign w:val="center"/>
          </w:tcPr>
          <w:p w14:paraId="1CE0E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706,00</w:t>
            </w:r>
          </w:p>
        </w:tc>
        <w:tc>
          <w:tcPr>
            <w:tcW w:w="808" w:type="dxa"/>
            <w:noWrap/>
            <w:vAlign w:val="center"/>
          </w:tcPr>
          <w:p w14:paraId="24E885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0,7</w:t>
            </w:r>
          </w:p>
        </w:tc>
      </w:tr>
      <w:tr w14:paraId="6D21F7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noWrap/>
            <w:vAlign w:val="center"/>
          </w:tcPr>
          <w:p w14:paraId="20A6EAA1">
            <w:pPr>
              <w:spacing w:after="0" w:line="240" w:lineRule="auto"/>
              <w:jc w:val="both"/>
              <w:rPr>
                <w:rFonts w:hint="default" w:ascii="Times New Roman" w:hAnsi="Times New Roman" w:eastAsia="SimSun"/>
                <w:color w:val="auto"/>
                <w:sz w:val="20"/>
                <w:szCs w:val="20"/>
                <w:highlight w:val="none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color w:val="auto"/>
                <w:sz w:val="20"/>
                <w:szCs w:val="20"/>
                <w:highlight w:val="none"/>
                <w:lang w:val="ru-RU" w:eastAsia="zh-CN"/>
              </w:rPr>
              <w:t>8</w:t>
            </w:r>
          </w:p>
        </w:tc>
        <w:tc>
          <w:tcPr>
            <w:tcW w:w="4274" w:type="dxa"/>
            <w:noWrap/>
            <w:vAlign w:val="center"/>
          </w:tcPr>
          <w:p w14:paraId="11C23CF9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SimSun"/>
                <w:color w:val="auto"/>
                <w:sz w:val="20"/>
                <w:szCs w:val="20"/>
                <w:highlight w:val="none"/>
                <w:lang w:eastAsia="zh-CN"/>
              </w:rPr>
              <w:t>«Управление муниципальным имуществом и земельными ресурсами Богородского муниципального округа Нижегородской области»</w:t>
            </w:r>
          </w:p>
        </w:tc>
        <w:tc>
          <w:tcPr>
            <w:tcW w:w="1547" w:type="dxa"/>
            <w:noWrap/>
            <w:vAlign w:val="center"/>
          </w:tcPr>
          <w:p w14:paraId="32180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33 554,09</w:t>
            </w:r>
          </w:p>
        </w:tc>
        <w:tc>
          <w:tcPr>
            <w:tcW w:w="1288" w:type="dxa"/>
            <w:noWrap/>
            <w:vAlign w:val="center"/>
          </w:tcPr>
          <w:p w14:paraId="75575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40 328,22</w:t>
            </w:r>
          </w:p>
        </w:tc>
        <w:tc>
          <w:tcPr>
            <w:tcW w:w="1276" w:type="dxa"/>
            <w:noWrap/>
            <w:vAlign w:val="center"/>
          </w:tcPr>
          <w:p w14:paraId="08B94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6 774,13</w:t>
            </w:r>
          </w:p>
        </w:tc>
        <w:tc>
          <w:tcPr>
            <w:tcW w:w="808" w:type="dxa"/>
            <w:noWrap/>
            <w:vAlign w:val="center"/>
          </w:tcPr>
          <w:p w14:paraId="696973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/>
                <w:color w:val="auto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20,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ru-RU" w:eastAsia="zh-CN" w:bidi="ar"/>
              </w:rPr>
              <w:t>2</w:t>
            </w:r>
          </w:p>
        </w:tc>
      </w:tr>
      <w:tr w14:paraId="2F3362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noWrap/>
            <w:vAlign w:val="center"/>
          </w:tcPr>
          <w:p w14:paraId="42ADAB36">
            <w:pPr>
              <w:spacing w:after="0" w:line="240" w:lineRule="auto"/>
              <w:jc w:val="both"/>
              <w:rPr>
                <w:rFonts w:hint="default" w:ascii="Times New Roman" w:hAnsi="Times New Roman" w:eastAsia="SimSun"/>
                <w:color w:val="auto"/>
                <w:sz w:val="20"/>
                <w:szCs w:val="20"/>
                <w:highlight w:val="none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color w:val="auto"/>
                <w:sz w:val="20"/>
                <w:szCs w:val="20"/>
                <w:highlight w:val="none"/>
                <w:lang w:val="ru-RU" w:eastAsia="zh-CN"/>
              </w:rPr>
              <w:t>9</w:t>
            </w:r>
          </w:p>
        </w:tc>
        <w:tc>
          <w:tcPr>
            <w:tcW w:w="4274" w:type="dxa"/>
            <w:noWrap/>
            <w:vAlign w:val="center"/>
          </w:tcPr>
          <w:p w14:paraId="6BF0AEEF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SimSun"/>
                <w:color w:val="auto"/>
                <w:sz w:val="20"/>
                <w:szCs w:val="20"/>
                <w:highlight w:val="none"/>
                <w:lang w:eastAsia="zh-CN"/>
              </w:rPr>
              <w:t>«Содействие развитию субъектов малого и среднего предпринимательства в Богородском муниципальном округе Нижегородской области»</w:t>
            </w:r>
          </w:p>
        </w:tc>
        <w:tc>
          <w:tcPr>
            <w:tcW w:w="1547" w:type="dxa"/>
            <w:noWrap/>
            <w:vAlign w:val="center"/>
          </w:tcPr>
          <w:p w14:paraId="306D1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1 150,20</w:t>
            </w:r>
          </w:p>
        </w:tc>
        <w:tc>
          <w:tcPr>
            <w:tcW w:w="1288" w:type="dxa"/>
            <w:noWrap/>
            <w:vAlign w:val="center"/>
          </w:tcPr>
          <w:p w14:paraId="67652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1 150,20</w:t>
            </w:r>
          </w:p>
        </w:tc>
        <w:tc>
          <w:tcPr>
            <w:tcW w:w="1276" w:type="dxa"/>
            <w:noWrap/>
            <w:vAlign w:val="center"/>
          </w:tcPr>
          <w:p w14:paraId="66621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808" w:type="dxa"/>
            <w:noWrap/>
            <w:vAlign w:val="center"/>
          </w:tcPr>
          <w:p w14:paraId="6AFF7B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0,0</w:t>
            </w:r>
          </w:p>
        </w:tc>
      </w:tr>
      <w:tr w14:paraId="20ABB6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noWrap/>
            <w:vAlign w:val="center"/>
          </w:tcPr>
          <w:p w14:paraId="58B6B8F0">
            <w:pPr>
              <w:spacing w:after="0" w:line="240" w:lineRule="auto"/>
              <w:jc w:val="both"/>
              <w:rPr>
                <w:rFonts w:hint="default" w:ascii="Times New Roman" w:hAnsi="Times New Roman" w:eastAsia="SimSun"/>
                <w:color w:val="auto"/>
                <w:sz w:val="20"/>
                <w:szCs w:val="20"/>
                <w:highlight w:val="none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color w:val="auto"/>
                <w:sz w:val="20"/>
                <w:szCs w:val="20"/>
                <w:highlight w:val="none"/>
                <w:lang w:val="ru-RU" w:eastAsia="zh-CN"/>
              </w:rPr>
              <w:t>10</w:t>
            </w:r>
          </w:p>
        </w:tc>
        <w:tc>
          <w:tcPr>
            <w:tcW w:w="4274" w:type="dxa"/>
            <w:noWrap/>
            <w:vAlign w:val="center"/>
          </w:tcPr>
          <w:p w14:paraId="75BB71C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SimSun"/>
                <w:color w:val="auto"/>
                <w:sz w:val="20"/>
                <w:szCs w:val="20"/>
                <w:highlight w:val="none"/>
                <w:lang w:eastAsia="zh-CN"/>
              </w:rPr>
              <w:t>«Развитие дорожного хозяйства Богородского муниципального округа Нижегородской области»</w:t>
            </w:r>
          </w:p>
        </w:tc>
        <w:tc>
          <w:tcPr>
            <w:tcW w:w="1547" w:type="dxa"/>
            <w:noWrap/>
            <w:vAlign w:val="center"/>
          </w:tcPr>
          <w:p w14:paraId="60F29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146 394,16</w:t>
            </w:r>
          </w:p>
        </w:tc>
        <w:tc>
          <w:tcPr>
            <w:tcW w:w="1288" w:type="dxa"/>
            <w:noWrap/>
            <w:vAlign w:val="center"/>
          </w:tcPr>
          <w:p w14:paraId="27B8A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211 095,86</w:t>
            </w:r>
          </w:p>
        </w:tc>
        <w:tc>
          <w:tcPr>
            <w:tcW w:w="1276" w:type="dxa"/>
            <w:noWrap/>
            <w:vAlign w:val="center"/>
          </w:tcPr>
          <w:p w14:paraId="30B2B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64 701,70</w:t>
            </w:r>
          </w:p>
        </w:tc>
        <w:tc>
          <w:tcPr>
            <w:tcW w:w="808" w:type="dxa"/>
            <w:noWrap/>
            <w:vAlign w:val="center"/>
          </w:tcPr>
          <w:p w14:paraId="71F2B9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44,2</w:t>
            </w:r>
          </w:p>
        </w:tc>
      </w:tr>
      <w:tr w14:paraId="66D058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456" w:type="dxa"/>
            <w:noWrap/>
            <w:vAlign w:val="center"/>
          </w:tcPr>
          <w:p w14:paraId="775A2957">
            <w:pPr>
              <w:spacing w:after="0" w:line="240" w:lineRule="auto"/>
              <w:jc w:val="both"/>
              <w:rPr>
                <w:rFonts w:hint="default" w:ascii="Times New Roman" w:hAnsi="Times New Roman" w:eastAsia="SimSun"/>
                <w:color w:val="auto"/>
                <w:sz w:val="20"/>
                <w:szCs w:val="20"/>
                <w:highlight w:val="none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color w:val="auto"/>
                <w:sz w:val="20"/>
                <w:szCs w:val="20"/>
                <w:highlight w:val="none"/>
                <w:lang w:val="ru-RU" w:eastAsia="zh-CN"/>
              </w:rPr>
              <w:t>11</w:t>
            </w:r>
          </w:p>
        </w:tc>
        <w:tc>
          <w:tcPr>
            <w:tcW w:w="4274" w:type="dxa"/>
            <w:noWrap/>
            <w:vAlign w:val="center"/>
          </w:tcPr>
          <w:p w14:paraId="741F2D2E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SimSun"/>
                <w:color w:val="auto"/>
                <w:sz w:val="20"/>
                <w:szCs w:val="20"/>
                <w:highlight w:val="none"/>
                <w:lang w:eastAsia="zh-CN"/>
              </w:rPr>
              <w:t>«Обеспечение населения Богородского муниципального округа Нижегородской области качественными услугами в сфере жилищно-коммунального хозяйства»</w:t>
            </w:r>
          </w:p>
        </w:tc>
        <w:tc>
          <w:tcPr>
            <w:tcW w:w="1547" w:type="dxa"/>
            <w:noWrap/>
            <w:vAlign w:val="center"/>
          </w:tcPr>
          <w:p w14:paraId="5A923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364 373,64</w:t>
            </w:r>
          </w:p>
        </w:tc>
        <w:tc>
          <w:tcPr>
            <w:tcW w:w="1288" w:type="dxa"/>
            <w:noWrap/>
            <w:vAlign w:val="center"/>
          </w:tcPr>
          <w:p w14:paraId="0E888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365 584,34</w:t>
            </w:r>
          </w:p>
        </w:tc>
        <w:tc>
          <w:tcPr>
            <w:tcW w:w="1276" w:type="dxa"/>
            <w:noWrap/>
            <w:vAlign w:val="center"/>
          </w:tcPr>
          <w:p w14:paraId="1FA03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1 210,70</w:t>
            </w:r>
          </w:p>
        </w:tc>
        <w:tc>
          <w:tcPr>
            <w:tcW w:w="808" w:type="dxa"/>
            <w:noWrap/>
            <w:vAlign w:val="center"/>
          </w:tcPr>
          <w:p w14:paraId="3509B4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0,3</w:t>
            </w:r>
          </w:p>
        </w:tc>
      </w:tr>
      <w:tr w14:paraId="5E6F4D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noWrap/>
            <w:vAlign w:val="center"/>
          </w:tcPr>
          <w:p w14:paraId="37049B98">
            <w:pPr>
              <w:spacing w:after="0" w:line="240" w:lineRule="auto"/>
              <w:jc w:val="both"/>
              <w:rPr>
                <w:rFonts w:hint="default" w:ascii="Times New Roman" w:hAnsi="Times New Roman" w:eastAsia="SimSun"/>
                <w:color w:val="auto"/>
                <w:sz w:val="20"/>
                <w:szCs w:val="20"/>
                <w:highlight w:val="none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color w:val="auto"/>
                <w:sz w:val="20"/>
                <w:szCs w:val="20"/>
                <w:highlight w:val="none"/>
                <w:lang w:val="ru-RU" w:eastAsia="zh-CN"/>
              </w:rPr>
              <w:t>12</w:t>
            </w:r>
          </w:p>
        </w:tc>
        <w:tc>
          <w:tcPr>
            <w:tcW w:w="4274" w:type="dxa"/>
            <w:noWrap/>
            <w:vAlign w:val="center"/>
          </w:tcPr>
          <w:p w14:paraId="2E4B00D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SimSun"/>
                <w:color w:val="auto"/>
                <w:sz w:val="20"/>
                <w:szCs w:val="20"/>
                <w:highlight w:val="none"/>
                <w:lang w:eastAsia="zh-CN"/>
              </w:rPr>
              <w:t>«Обеспечение безопасности жизнедеятельности населения Богородского муниципального округа Нижегородской области»</w:t>
            </w:r>
          </w:p>
        </w:tc>
        <w:tc>
          <w:tcPr>
            <w:tcW w:w="1547" w:type="dxa"/>
            <w:noWrap/>
            <w:vAlign w:val="center"/>
          </w:tcPr>
          <w:p w14:paraId="2D6B3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87 614,77</w:t>
            </w:r>
          </w:p>
        </w:tc>
        <w:tc>
          <w:tcPr>
            <w:tcW w:w="1288" w:type="dxa"/>
            <w:noWrap/>
            <w:vAlign w:val="center"/>
          </w:tcPr>
          <w:p w14:paraId="11C47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92 305,77</w:t>
            </w:r>
          </w:p>
        </w:tc>
        <w:tc>
          <w:tcPr>
            <w:tcW w:w="1276" w:type="dxa"/>
            <w:noWrap/>
            <w:vAlign w:val="center"/>
          </w:tcPr>
          <w:p w14:paraId="76EC3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4 691,00</w:t>
            </w:r>
          </w:p>
        </w:tc>
        <w:tc>
          <w:tcPr>
            <w:tcW w:w="808" w:type="dxa"/>
            <w:noWrap/>
            <w:vAlign w:val="center"/>
          </w:tcPr>
          <w:p w14:paraId="169F0F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/>
                <w:color w:val="auto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5,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ru-RU" w:eastAsia="zh-CN" w:bidi="ar"/>
              </w:rPr>
              <w:t>4</w:t>
            </w:r>
          </w:p>
        </w:tc>
      </w:tr>
      <w:tr w14:paraId="4F829A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noWrap/>
            <w:vAlign w:val="center"/>
          </w:tcPr>
          <w:p w14:paraId="5F6E0E39">
            <w:pPr>
              <w:spacing w:after="0" w:line="240" w:lineRule="auto"/>
              <w:jc w:val="both"/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  <w:t>13</w:t>
            </w:r>
          </w:p>
        </w:tc>
        <w:tc>
          <w:tcPr>
            <w:tcW w:w="4274" w:type="dxa"/>
            <w:noWrap/>
            <w:vAlign w:val="center"/>
          </w:tcPr>
          <w:p w14:paraId="393C266F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auto"/>
                <w:sz w:val="20"/>
                <w:szCs w:val="20"/>
                <w:lang w:eastAsia="zh-CN"/>
              </w:rPr>
              <w:t>«Информационное общество Богородского муниципального округа Нижегородской области»</w:t>
            </w:r>
          </w:p>
        </w:tc>
        <w:tc>
          <w:tcPr>
            <w:tcW w:w="1547" w:type="dxa"/>
            <w:noWrap/>
            <w:vAlign w:val="center"/>
          </w:tcPr>
          <w:p w14:paraId="3D381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26 444,32</w:t>
            </w:r>
          </w:p>
        </w:tc>
        <w:tc>
          <w:tcPr>
            <w:tcW w:w="1288" w:type="dxa"/>
            <w:noWrap/>
            <w:vAlign w:val="center"/>
          </w:tcPr>
          <w:p w14:paraId="4030D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26 767,61</w:t>
            </w:r>
          </w:p>
        </w:tc>
        <w:tc>
          <w:tcPr>
            <w:tcW w:w="1276" w:type="dxa"/>
            <w:noWrap/>
            <w:vAlign w:val="center"/>
          </w:tcPr>
          <w:p w14:paraId="4506A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323,29</w:t>
            </w:r>
          </w:p>
        </w:tc>
        <w:tc>
          <w:tcPr>
            <w:tcW w:w="808" w:type="dxa"/>
            <w:noWrap/>
            <w:vAlign w:val="center"/>
          </w:tcPr>
          <w:p w14:paraId="1E259F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1,2</w:t>
            </w:r>
          </w:p>
        </w:tc>
      </w:tr>
      <w:tr w14:paraId="3473A9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noWrap/>
            <w:vAlign w:val="center"/>
          </w:tcPr>
          <w:p w14:paraId="66EADFC5">
            <w:pPr>
              <w:spacing w:after="0" w:line="240" w:lineRule="auto"/>
              <w:jc w:val="both"/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  <w:t>14</w:t>
            </w:r>
          </w:p>
        </w:tc>
        <w:tc>
          <w:tcPr>
            <w:tcW w:w="4274" w:type="dxa"/>
            <w:noWrap/>
            <w:vAlign w:val="center"/>
          </w:tcPr>
          <w:p w14:paraId="27E2266F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auto"/>
                <w:sz w:val="20"/>
                <w:szCs w:val="20"/>
                <w:lang w:eastAsia="zh-CN"/>
              </w:rPr>
              <w:t>«Развитие муниципальной службы в Богородском муниципальном округе Нижегородской области»</w:t>
            </w:r>
          </w:p>
        </w:tc>
        <w:tc>
          <w:tcPr>
            <w:tcW w:w="1547" w:type="dxa"/>
            <w:noWrap/>
            <w:vAlign w:val="center"/>
          </w:tcPr>
          <w:p w14:paraId="70676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177 283,46</w:t>
            </w:r>
          </w:p>
        </w:tc>
        <w:tc>
          <w:tcPr>
            <w:tcW w:w="1288" w:type="dxa"/>
            <w:noWrap/>
            <w:vAlign w:val="center"/>
          </w:tcPr>
          <w:p w14:paraId="42C09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177 518,96</w:t>
            </w:r>
          </w:p>
        </w:tc>
        <w:tc>
          <w:tcPr>
            <w:tcW w:w="1276" w:type="dxa"/>
            <w:noWrap/>
            <w:vAlign w:val="center"/>
          </w:tcPr>
          <w:p w14:paraId="079C3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235,50</w:t>
            </w:r>
          </w:p>
        </w:tc>
        <w:tc>
          <w:tcPr>
            <w:tcW w:w="808" w:type="dxa"/>
            <w:noWrap/>
            <w:vAlign w:val="center"/>
          </w:tcPr>
          <w:p w14:paraId="1F3FB6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0,1</w:t>
            </w:r>
          </w:p>
        </w:tc>
      </w:tr>
      <w:tr w14:paraId="49EFD7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</w:trPr>
        <w:tc>
          <w:tcPr>
            <w:tcW w:w="456" w:type="dxa"/>
            <w:noWrap/>
            <w:vAlign w:val="center"/>
          </w:tcPr>
          <w:p w14:paraId="0A92852E">
            <w:pPr>
              <w:spacing w:after="0" w:line="240" w:lineRule="auto"/>
              <w:jc w:val="both"/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  <w:t>15</w:t>
            </w:r>
          </w:p>
        </w:tc>
        <w:tc>
          <w:tcPr>
            <w:tcW w:w="4274" w:type="dxa"/>
            <w:noWrap/>
            <w:vAlign w:val="center"/>
          </w:tcPr>
          <w:p w14:paraId="2F6FC208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auto"/>
                <w:sz w:val="20"/>
                <w:szCs w:val="20"/>
                <w:lang w:eastAsia="zh-CN"/>
              </w:rPr>
              <w:t>«Формирование комфортной городской среды на территории Богородского муниципального округа Нижегородской области»</w:t>
            </w:r>
          </w:p>
        </w:tc>
        <w:tc>
          <w:tcPr>
            <w:tcW w:w="1547" w:type="dxa"/>
            <w:noWrap/>
            <w:vAlign w:val="center"/>
          </w:tcPr>
          <w:p w14:paraId="03400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240 178,96</w:t>
            </w:r>
          </w:p>
        </w:tc>
        <w:tc>
          <w:tcPr>
            <w:tcW w:w="1288" w:type="dxa"/>
            <w:noWrap/>
            <w:vAlign w:val="center"/>
          </w:tcPr>
          <w:p w14:paraId="0C791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240 178,93</w:t>
            </w:r>
          </w:p>
        </w:tc>
        <w:tc>
          <w:tcPr>
            <w:tcW w:w="1276" w:type="dxa"/>
            <w:noWrap/>
            <w:vAlign w:val="center"/>
          </w:tcPr>
          <w:p w14:paraId="50404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0,03</w:t>
            </w:r>
          </w:p>
        </w:tc>
        <w:tc>
          <w:tcPr>
            <w:tcW w:w="808" w:type="dxa"/>
            <w:noWrap/>
            <w:vAlign w:val="center"/>
          </w:tcPr>
          <w:p w14:paraId="4C22CE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0,0</w:t>
            </w:r>
          </w:p>
        </w:tc>
      </w:tr>
      <w:tr w14:paraId="27EC54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noWrap/>
            <w:vAlign w:val="center"/>
          </w:tcPr>
          <w:p w14:paraId="18E0A0E1">
            <w:pPr>
              <w:spacing w:after="0" w:line="240" w:lineRule="auto"/>
              <w:jc w:val="both"/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  <w:t>16</w:t>
            </w:r>
          </w:p>
        </w:tc>
        <w:tc>
          <w:tcPr>
            <w:tcW w:w="4274" w:type="dxa"/>
            <w:noWrap/>
            <w:vAlign w:val="center"/>
          </w:tcPr>
          <w:p w14:paraId="67C4FFB9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auto"/>
                <w:sz w:val="20"/>
                <w:szCs w:val="20"/>
                <w:lang w:eastAsia="zh-CN"/>
              </w:rPr>
              <w:t>«Улучшение качества жизни и обеспечение безопасности жителей Богородского муниципального округа Нижегородской области»</w:t>
            </w:r>
          </w:p>
        </w:tc>
        <w:tc>
          <w:tcPr>
            <w:tcW w:w="1547" w:type="dxa"/>
            <w:noWrap/>
            <w:vAlign w:val="center"/>
          </w:tcPr>
          <w:p w14:paraId="03B64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186 932,47</w:t>
            </w:r>
          </w:p>
        </w:tc>
        <w:tc>
          <w:tcPr>
            <w:tcW w:w="1288" w:type="dxa"/>
            <w:noWrap/>
            <w:vAlign w:val="center"/>
          </w:tcPr>
          <w:p w14:paraId="5490B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197 750,08</w:t>
            </w:r>
          </w:p>
        </w:tc>
        <w:tc>
          <w:tcPr>
            <w:tcW w:w="1276" w:type="dxa"/>
            <w:noWrap/>
            <w:vAlign w:val="center"/>
          </w:tcPr>
          <w:p w14:paraId="7D775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10 817,61</w:t>
            </w:r>
          </w:p>
        </w:tc>
        <w:tc>
          <w:tcPr>
            <w:tcW w:w="808" w:type="dxa"/>
            <w:noWrap/>
            <w:vAlign w:val="center"/>
          </w:tcPr>
          <w:p w14:paraId="75FFF4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5,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ru-RU" w:eastAsia="zh-CN" w:bidi="ar"/>
              </w:rPr>
              <w:t>8</w:t>
            </w:r>
          </w:p>
        </w:tc>
      </w:tr>
      <w:tr w14:paraId="19541A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noWrap/>
            <w:vAlign w:val="center"/>
          </w:tcPr>
          <w:p w14:paraId="43E05E2E">
            <w:pPr>
              <w:spacing w:after="0" w:line="240" w:lineRule="auto"/>
              <w:jc w:val="both"/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  <w:t>17</w:t>
            </w:r>
          </w:p>
        </w:tc>
        <w:tc>
          <w:tcPr>
            <w:tcW w:w="4274" w:type="dxa"/>
            <w:noWrap/>
            <w:vAlign w:val="center"/>
          </w:tcPr>
          <w:p w14:paraId="44764433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auto"/>
                <w:sz w:val="20"/>
                <w:szCs w:val="20"/>
                <w:lang w:eastAsia="zh-CN"/>
              </w:rPr>
              <w:t>«Энергосбережение и повышение энергетической эффективности в организациях с участием муниципального образования Богородский муниципальный округ»</w:t>
            </w:r>
          </w:p>
        </w:tc>
        <w:tc>
          <w:tcPr>
            <w:tcW w:w="1547" w:type="dxa"/>
            <w:noWrap/>
            <w:vAlign w:val="center"/>
          </w:tcPr>
          <w:p w14:paraId="48727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30,00</w:t>
            </w:r>
          </w:p>
        </w:tc>
        <w:tc>
          <w:tcPr>
            <w:tcW w:w="1288" w:type="dxa"/>
            <w:noWrap/>
            <w:vAlign w:val="center"/>
          </w:tcPr>
          <w:p w14:paraId="4172B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30,00</w:t>
            </w:r>
          </w:p>
        </w:tc>
        <w:tc>
          <w:tcPr>
            <w:tcW w:w="1276" w:type="dxa"/>
            <w:noWrap/>
            <w:vAlign w:val="center"/>
          </w:tcPr>
          <w:p w14:paraId="1E6F0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808" w:type="dxa"/>
            <w:noWrap/>
            <w:vAlign w:val="center"/>
          </w:tcPr>
          <w:p w14:paraId="7DEB26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</w:t>
            </w:r>
          </w:p>
        </w:tc>
      </w:tr>
      <w:tr w14:paraId="4A5034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456" w:type="dxa"/>
            <w:noWrap/>
          </w:tcPr>
          <w:p w14:paraId="34785865">
            <w:pPr>
              <w:spacing w:after="0" w:line="240" w:lineRule="auto"/>
              <w:rPr>
                <w:rFonts w:ascii="Times New Roman" w:hAnsi="Times New Roman" w:eastAsia="SimSun"/>
                <w:b/>
                <w:bCs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4274" w:type="dxa"/>
            <w:noWrap/>
          </w:tcPr>
          <w:p w14:paraId="0379C0A1">
            <w:pPr>
              <w:spacing w:after="0" w:line="240" w:lineRule="auto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SimSun"/>
                <w:b/>
                <w:bCs/>
                <w:color w:val="auto"/>
                <w:sz w:val="20"/>
                <w:szCs w:val="20"/>
                <w:lang w:val="en-US" w:eastAsia="zh-CN"/>
              </w:rPr>
              <w:t>Всего:</w:t>
            </w:r>
          </w:p>
        </w:tc>
        <w:tc>
          <w:tcPr>
            <w:tcW w:w="1547" w:type="dxa"/>
            <w:noWrap/>
            <w:vAlign w:val="center"/>
          </w:tcPr>
          <w:p w14:paraId="269F8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852 363,66</w:t>
            </w:r>
          </w:p>
        </w:tc>
        <w:tc>
          <w:tcPr>
            <w:tcW w:w="1288" w:type="dxa"/>
            <w:noWrap/>
            <w:vAlign w:val="center"/>
          </w:tcPr>
          <w:p w14:paraId="0293D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948 652,60</w:t>
            </w:r>
          </w:p>
        </w:tc>
        <w:tc>
          <w:tcPr>
            <w:tcW w:w="1276" w:type="dxa"/>
            <w:noWrap/>
            <w:vAlign w:val="center"/>
          </w:tcPr>
          <w:p w14:paraId="2024A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96 288,94</w:t>
            </w:r>
          </w:p>
        </w:tc>
        <w:tc>
          <w:tcPr>
            <w:tcW w:w="808" w:type="dxa"/>
            <w:noWrap/>
            <w:vAlign w:val="center"/>
          </w:tcPr>
          <w:p w14:paraId="43F6D6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2,50</w:t>
            </w:r>
          </w:p>
        </w:tc>
      </w:tr>
    </w:tbl>
    <w:p w14:paraId="63D4006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</w:p>
    <w:p w14:paraId="0661241A">
      <w:pPr>
        <w:spacing w:after="0" w:line="240" w:lineRule="auto"/>
        <w:ind w:firstLine="657" w:firstLineChars="25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Основные изменения финансового обеспечения предусмотрены по муниципальным программам </w:t>
      </w:r>
      <w:r>
        <w:rPr>
          <w:rFonts w:ascii="Times New Roman" w:hAnsi="Times New Roman" w:eastAsia="SimSun"/>
          <w:color w:val="000000"/>
          <w:sz w:val="26"/>
          <w:szCs w:val="26"/>
          <w:lang w:eastAsia="zh-CN"/>
        </w:rPr>
        <w:t>«</w:t>
      </w:r>
      <w:r>
        <w:rPr>
          <w:rFonts w:ascii="Times New Roman" w:hAnsi="Times New Roman" w:eastAsia="SimSun"/>
          <w:color w:val="auto"/>
          <w:sz w:val="26"/>
          <w:szCs w:val="26"/>
          <w:lang w:eastAsia="zh-CN"/>
        </w:rPr>
        <w:t>Управление муниципальным имуществом и земельными ресурсами Богородского муниципального округа Нижегородской области</w:t>
      </w:r>
      <w:r>
        <w:rPr>
          <w:rFonts w:ascii="Times New Roman" w:hAnsi="Times New Roman" w:eastAsia="SimSun"/>
          <w:color w:val="000000"/>
          <w:sz w:val="26"/>
          <w:szCs w:val="26"/>
          <w:lang w:eastAsia="zh-CN"/>
        </w:rPr>
        <w:t>»</w:t>
      </w:r>
      <w:r>
        <w:rPr>
          <w:rFonts w:ascii="Times New Roman" w:hAnsi="Times New Roman"/>
          <w:color w:val="000000"/>
          <w:sz w:val="26"/>
          <w:szCs w:val="26"/>
        </w:rPr>
        <w:t xml:space="preserve"> в сумме увеличения на </w:t>
      </w:r>
      <w:r>
        <w:rPr>
          <w:rFonts w:hint="default" w:ascii="Times New Roman" w:hAnsi="Times New Roman" w:eastAsia="SimSun" w:cs="Times New Roman"/>
          <w:i w:val="0"/>
          <w:iCs w:val="0"/>
          <w:color w:val="auto"/>
          <w:kern w:val="0"/>
          <w:sz w:val="26"/>
          <w:szCs w:val="26"/>
          <w:u w:val="none"/>
          <w:lang w:val="en-US" w:eastAsia="zh-CN" w:bidi="ar"/>
        </w:rPr>
        <w:t>6 774,13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 w:eastAsia="SimSun"/>
          <w:color w:val="000000"/>
          <w:sz w:val="26"/>
          <w:szCs w:val="26"/>
          <w:lang w:eastAsia="zh-CN"/>
        </w:rPr>
        <w:t xml:space="preserve">тыс. рублей (или на </w:t>
      </w:r>
      <w:r>
        <w:rPr>
          <w:rFonts w:hint="default" w:ascii="Times New Roman" w:hAnsi="Times New Roman" w:eastAsia="SimSun"/>
          <w:color w:val="000000"/>
          <w:sz w:val="26"/>
          <w:szCs w:val="26"/>
          <w:lang w:val="ru-RU" w:eastAsia="zh-CN"/>
        </w:rPr>
        <w:t>20,2</w:t>
      </w:r>
      <w:r>
        <w:rPr>
          <w:rFonts w:ascii="Times New Roman" w:hAnsi="Times New Roman" w:eastAsia="SimSun"/>
          <w:color w:val="000000"/>
          <w:sz w:val="26"/>
          <w:szCs w:val="26"/>
          <w:lang w:eastAsia="zh-CN"/>
        </w:rPr>
        <w:t xml:space="preserve"> %), «</w:t>
      </w:r>
      <w:r>
        <w:rPr>
          <w:rFonts w:ascii="Times New Roman" w:hAnsi="Times New Roman" w:eastAsia="SimSun"/>
          <w:color w:val="auto"/>
          <w:sz w:val="26"/>
          <w:szCs w:val="26"/>
          <w:lang w:eastAsia="zh-CN"/>
        </w:rPr>
        <w:t>Улучшение качества жизни и обеспечение безопасности жителей Богородского муниципального округа Нижегородской области</w:t>
      </w:r>
      <w:r>
        <w:rPr>
          <w:rFonts w:ascii="Times New Roman" w:hAnsi="Times New Roman" w:eastAsia="SimSun"/>
          <w:color w:val="000000"/>
          <w:sz w:val="26"/>
          <w:szCs w:val="26"/>
          <w:lang w:eastAsia="zh-CN"/>
        </w:rPr>
        <w:t xml:space="preserve">» с </w:t>
      </w:r>
      <w:r>
        <w:rPr>
          <w:rFonts w:ascii="Times New Roman" w:hAnsi="Times New Roman" w:eastAsia="SimSun"/>
          <w:color w:val="000000"/>
          <w:sz w:val="26"/>
          <w:szCs w:val="26"/>
          <w:lang w:val="ru-RU" w:eastAsia="zh-CN"/>
        </w:rPr>
        <w:t>увеличени</w:t>
      </w:r>
      <w:r>
        <w:rPr>
          <w:rFonts w:ascii="Times New Roman" w:hAnsi="Times New Roman" w:eastAsia="SimSun"/>
          <w:color w:val="000000"/>
          <w:sz w:val="26"/>
          <w:szCs w:val="26"/>
          <w:lang w:eastAsia="zh-CN"/>
        </w:rPr>
        <w:t xml:space="preserve">ем на </w:t>
      </w:r>
      <w:r>
        <w:rPr>
          <w:rFonts w:hint="default" w:ascii="Times New Roman" w:hAnsi="Times New Roman" w:eastAsia="SimSun" w:cs="Times New Roman"/>
          <w:i w:val="0"/>
          <w:iCs w:val="0"/>
          <w:color w:val="auto"/>
          <w:kern w:val="0"/>
          <w:sz w:val="26"/>
          <w:szCs w:val="26"/>
          <w:u w:val="none"/>
          <w:lang w:val="en-US" w:eastAsia="zh-CN" w:bidi="ar"/>
        </w:rPr>
        <w:t>10 817,61</w:t>
      </w:r>
      <w:r>
        <w:rPr>
          <w:rFonts w:ascii="Times New Roman" w:hAnsi="Times New Roman" w:eastAsia="SimSun"/>
          <w:color w:val="000000"/>
          <w:sz w:val="26"/>
          <w:szCs w:val="26"/>
          <w:lang w:eastAsia="zh-CN"/>
        </w:rPr>
        <w:t xml:space="preserve"> тыс. рублей (или на </w:t>
      </w:r>
      <w:r>
        <w:rPr>
          <w:rFonts w:hint="default" w:ascii="Times New Roman" w:hAnsi="Times New Roman" w:eastAsia="SimSun"/>
          <w:color w:val="000000"/>
          <w:sz w:val="26"/>
          <w:szCs w:val="26"/>
          <w:lang w:val="ru-RU" w:eastAsia="zh-CN"/>
        </w:rPr>
        <w:t xml:space="preserve">5,8 </w:t>
      </w:r>
      <w:r>
        <w:rPr>
          <w:rFonts w:ascii="Times New Roman" w:hAnsi="Times New Roman" w:eastAsia="SimSun"/>
          <w:color w:val="000000"/>
          <w:sz w:val="26"/>
          <w:szCs w:val="26"/>
          <w:lang w:eastAsia="zh-CN"/>
        </w:rPr>
        <w:t>%), «Развитие дорожного хозяйства Богородского муниципального округа Нижегородской области»</w:t>
      </w:r>
      <w:r>
        <w:rPr>
          <w:rFonts w:ascii="Times New Roman" w:hAnsi="Times New Roman" w:eastAsiaTheme="minorEastAsia"/>
          <w:sz w:val="26"/>
          <w:szCs w:val="26"/>
        </w:rPr>
        <w:t xml:space="preserve"> в сумме у</w:t>
      </w:r>
      <w:r>
        <w:rPr>
          <w:rFonts w:ascii="Times New Roman" w:hAnsi="Times New Roman" w:eastAsiaTheme="minorEastAsia"/>
          <w:sz w:val="26"/>
          <w:szCs w:val="26"/>
          <w:lang w:val="ru-RU"/>
        </w:rPr>
        <w:t>величен</w:t>
      </w:r>
      <w:r>
        <w:rPr>
          <w:rFonts w:ascii="Times New Roman" w:hAnsi="Times New Roman" w:eastAsiaTheme="minorEastAsia"/>
          <w:sz w:val="26"/>
          <w:szCs w:val="26"/>
        </w:rPr>
        <w:t xml:space="preserve">ия на </w:t>
      </w:r>
      <w:r>
        <w:rPr>
          <w:rFonts w:hint="default" w:ascii="Times New Roman" w:hAnsi="Times New Roman" w:eastAsia="SimSun" w:cs="Times New Roman"/>
          <w:i w:val="0"/>
          <w:iCs w:val="0"/>
          <w:color w:val="auto"/>
          <w:kern w:val="0"/>
          <w:sz w:val="26"/>
          <w:szCs w:val="26"/>
          <w:u w:val="none"/>
          <w:lang w:val="en-US" w:eastAsia="zh-CN" w:bidi="ar"/>
        </w:rPr>
        <w:t>64 701,70</w:t>
      </w:r>
      <w:r>
        <w:rPr>
          <w:rFonts w:ascii="Times New Roman" w:hAnsi="Times New Roman" w:eastAsia="SimSun"/>
          <w:color w:val="000000"/>
          <w:sz w:val="26"/>
          <w:szCs w:val="26"/>
          <w:lang w:eastAsia="zh-CN"/>
        </w:rPr>
        <w:t xml:space="preserve"> </w:t>
      </w:r>
      <w:r>
        <w:rPr>
          <w:rFonts w:ascii="Times New Roman" w:hAnsi="Times New Roman" w:eastAsiaTheme="minorEastAsia"/>
          <w:sz w:val="26"/>
          <w:szCs w:val="26"/>
        </w:rPr>
        <w:t xml:space="preserve">тыс. рублей (или на </w:t>
      </w:r>
      <w:r>
        <w:rPr>
          <w:rFonts w:hint="default" w:ascii="Times New Roman" w:hAnsi="Times New Roman" w:eastAsiaTheme="minorEastAsia"/>
          <w:sz w:val="26"/>
          <w:szCs w:val="26"/>
          <w:lang w:val="ru-RU"/>
        </w:rPr>
        <w:t>44,2</w:t>
      </w:r>
      <w:r>
        <w:rPr>
          <w:rFonts w:ascii="Times New Roman" w:hAnsi="Times New Roman" w:eastAsia="SimSun"/>
          <w:color w:val="000000"/>
          <w:sz w:val="26"/>
          <w:szCs w:val="26"/>
          <w:lang w:eastAsia="zh-CN"/>
        </w:rPr>
        <w:t xml:space="preserve"> %</w:t>
      </w:r>
      <w:r>
        <w:rPr>
          <w:rFonts w:ascii="Times New Roman" w:hAnsi="Times New Roman"/>
          <w:color w:val="000000"/>
          <w:sz w:val="26"/>
          <w:szCs w:val="26"/>
        </w:rPr>
        <w:t>).</w:t>
      </w:r>
    </w:p>
    <w:p w14:paraId="079883EF">
      <w:pPr>
        <w:pStyle w:val="188"/>
        <w:spacing w:line="240" w:lineRule="auto"/>
        <w:ind w:left="0"/>
        <w:jc w:val="both"/>
        <w:rPr>
          <w:rFonts w:hint="default" w:ascii="Times New Roman" w:hAnsi="Times New Roman"/>
          <w:color w:val="000000"/>
          <w:sz w:val="26"/>
          <w:szCs w:val="26"/>
          <w:lang w:val="ru-RU"/>
        </w:rPr>
      </w:pP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 xml:space="preserve">Непрограммные расходы составили </w:t>
      </w:r>
      <w:r>
        <w:rPr>
          <w:rFonts w:hint="default" w:ascii="Times New Roman" w:hAnsi="Times New Roman"/>
          <w:color w:val="000000"/>
          <w:sz w:val="26"/>
          <w:szCs w:val="26"/>
        </w:rPr>
        <w:t>41</w:t>
      </w:r>
      <w:r>
        <w:rPr>
          <w:rFonts w:hint="default" w:ascii="Times New Roman" w:hAnsi="Times New Roman"/>
          <w:color w:val="000000"/>
          <w:sz w:val="26"/>
          <w:szCs w:val="26"/>
          <w:lang w:val="ru-RU"/>
        </w:rPr>
        <w:t xml:space="preserve"> </w:t>
      </w:r>
      <w:r>
        <w:rPr>
          <w:rFonts w:hint="default" w:ascii="Times New Roman" w:hAnsi="Times New Roman"/>
          <w:color w:val="000000"/>
          <w:sz w:val="26"/>
          <w:szCs w:val="26"/>
        </w:rPr>
        <w:t>537,36</w:t>
      </w:r>
      <w:r>
        <w:rPr>
          <w:rFonts w:hint="default" w:ascii="Times New Roman" w:hAnsi="Times New Roman"/>
          <w:color w:val="000000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тыс.</w:t>
      </w:r>
      <w:r>
        <w:rPr>
          <w:rFonts w:ascii="Times New Roman" w:hAnsi="Times New Roman"/>
          <w:color w:val="000000"/>
          <w:sz w:val="26"/>
          <w:szCs w:val="26"/>
          <w:lang w:val="ru-RU"/>
        </w:rPr>
        <w:t>р</w:t>
      </w:r>
      <w:r>
        <w:rPr>
          <w:rFonts w:ascii="Times New Roman" w:hAnsi="Times New Roman"/>
          <w:color w:val="000000"/>
          <w:sz w:val="26"/>
          <w:szCs w:val="26"/>
        </w:rPr>
        <w:t>ублей</w:t>
      </w:r>
      <w:r>
        <w:rPr>
          <w:rFonts w:hint="default" w:ascii="Times New Roman" w:hAnsi="Times New Roman"/>
          <w:color w:val="000000"/>
          <w:sz w:val="26"/>
          <w:szCs w:val="26"/>
          <w:lang w:val="ru-RU"/>
        </w:rPr>
        <w:t>, увеличились на 320,09 тыс.рублей.</w:t>
      </w:r>
    </w:p>
    <w:p w14:paraId="652B7E06">
      <w:pPr>
        <w:pStyle w:val="188"/>
        <w:spacing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04E03C37">
      <w:pPr>
        <w:pStyle w:val="188"/>
        <w:numPr>
          <w:ilvl w:val="0"/>
          <w:numId w:val="2"/>
        </w:numPr>
        <w:spacing w:before="240" w:after="0" w:line="240" w:lineRule="auto"/>
        <w:ind w:left="0" w:firstLine="658" w:firstLineChars="253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Основные изменения по источникам финансирования дефицита бюджета</w:t>
      </w:r>
    </w:p>
    <w:p w14:paraId="3B8E8D5A">
      <w:pPr>
        <w:spacing w:after="0" w:line="240" w:lineRule="auto"/>
        <w:ind w:firstLine="657" w:firstLineChars="25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Проектом решения предусмотрено исполнение местного бюджета с дефицитом в сумме </w:t>
      </w:r>
      <w:r>
        <w:rPr>
          <w:rFonts w:hint="default" w:ascii="Times New Roman" w:hAnsi="Times New Roman"/>
          <w:sz w:val="26"/>
          <w:szCs w:val="26"/>
          <w:lang w:val="ru-RU"/>
        </w:rPr>
        <w:t>252 205,22</w:t>
      </w:r>
      <w:r>
        <w:rPr>
          <w:rFonts w:ascii="Times New Roman" w:hAnsi="Times New Roman"/>
          <w:color w:val="000000"/>
          <w:sz w:val="26"/>
          <w:szCs w:val="26"/>
        </w:rPr>
        <w:t xml:space="preserve"> тыс. рублей. В качестве источников внутреннего финансирования дефицита бюджета предусмотрена </w:t>
      </w:r>
      <w:r>
        <w:rPr>
          <w:rFonts w:ascii="Times New Roman" w:hAnsi="Times New Roman"/>
          <w:bCs/>
          <w:color w:val="000000"/>
          <w:sz w:val="26"/>
          <w:szCs w:val="26"/>
        </w:rPr>
        <w:t xml:space="preserve">разница между привлеченными и погашенными кредитами кредитных организаций в валюте </w:t>
      </w:r>
      <w:r>
        <w:rPr>
          <w:rFonts w:ascii="Times New Roman" w:hAnsi="Times New Roman"/>
          <w:sz w:val="26"/>
          <w:szCs w:val="26"/>
        </w:rPr>
        <w:t>Российской Федерации</w:t>
      </w:r>
      <w:r>
        <w:rPr>
          <w:rFonts w:ascii="Times New Roman" w:hAnsi="Times New Roman"/>
          <w:bCs/>
          <w:color w:val="000000"/>
          <w:sz w:val="26"/>
          <w:szCs w:val="26"/>
        </w:rPr>
        <w:t xml:space="preserve"> в сумме </w:t>
      </w:r>
      <w:r>
        <w:rPr>
          <w:rFonts w:hint="default" w:ascii="Times New Roman" w:hAnsi="Times New Roman"/>
          <w:sz w:val="26"/>
          <w:szCs w:val="26"/>
          <w:lang w:val="ru-RU"/>
        </w:rPr>
        <w:t>60 000,00</w:t>
      </w:r>
      <w:r>
        <w:rPr>
          <w:rFonts w:ascii="Times New Roman" w:hAnsi="Times New Roman"/>
          <w:bCs/>
          <w:color w:val="000000"/>
          <w:sz w:val="26"/>
          <w:szCs w:val="26"/>
        </w:rPr>
        <w:t xml:space="preserve"> тыс. </w:t>
      </w:r>
      <w:r>
        <w:rPr>
          <w:rFonts w:ascii="Times New Roman" w:hAnsi="Times New Roman"/>
          <w:bCs/>
          <w:color w:val="000000"/>
          <w:sz w:val="26"/>
          <w:szCs w:val="26"/>
          <w:lang w:val="ru-RU"/>
        </w:rPr>
        <w:t>рублей</w:t>
      </w:r>
      <w:r>
        <w:rPr>
          <w:rFonts w:hint="default" w:ascii="Times New Roman" w:hAnsi="Times New Roman"/>
          <w:bCs/>
          <w:color w:val="000000"/>
          <w:sz w:val="26"/>
          <w:szCs w:val="26"/>
          <w:lang w:val="ru-RU"/>
        </w:rPr>
        <w:t xml:space="preserve"> и изменение остатков средств на счетах по учету средств бюджета в сумме 192 205,22 тыс. рублей.</w:t>
      </w:r>
      <w:r>
        <w:rPr>
          <w:rFonts w:ascii="Times New Roman" w:hAnsi="Times New Roman"/>
          <w:sz w:val="26"/>
          <w:szCs w:val="26"/>
        </w:rPr>
        <w:tab/>
      </w:r>
    </w:p>
    <w:p w14:paraId="7408899B">
      <w:pPr>
        <w:spacing w:after="0" w:line="240" w:lineRule="auto"/>
        <w:ind w:firstLine="657" w:firstLineChars="25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Проектом решения о бюджете соблюдены требования и ограничения, установленные Бюджетным кодексом Российской Федерации: </w:t>
      </w:r>
    </w:p>
    <w:p w14:paraId="2265563D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п. 5 ст. 179.4 – по объему бюджетных ассигнований дорожного фонда </w:t>
      </w:r>
      <w:r>
        <w:rPr>
          <w:rFonts w:ascii="Times New Roman" w:hAnsi="Times New Roman"/>
          <w:color w:val="000000"/>
          <w:sz w:val="26"/>
          <w:szCs w:val="26"/>
        </w:rPr>
        <w:t>Богородского муниципального округа Нижегородской области</w:t>
      </w:r>
      <w:r>
        <w:rPr>
          <w:rFonts w:ascii="Times New Roman" w:hAnsi="Times New Roman"/>
          <w:sz w:val="26"/>
          <w:szCs w:val="26"/>
        </w:rPr>
        <w:t xml:space="preserve">, </w:t>
      </w:r>
    </w:p>
    <w:p w14:paraId="23466A1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п. 3 ст. 184.1 – по общему объему условно утверждаемых расходов</w:t>
      </w:r>
      <w:r>
        <w:rPr>
          <w:rFonts w:hint="default" w:ascii="Times New Roman" w:hAnsi="Times New Roman"/>
          <w:sz w:val="26"/>
          <w:szCs w:val="26"/>
          <w:lang w:val="ru-RU"/>
        </w:rPr>
        <w:t>,</w:t>
      </w:r>
      <w:bookmarkStart w:id="0" w:name="_GoBack"/>
      <w:bookmarkEnd w:id="0"/>
      <w:r>
        <w:rPr>
          <w:rFonts w:ascii="Times New Roman" w:hAnsi="Times New Roman"/>
          <w:sz w:val="26"/>
          <w:szCs w:val="26"/>
        </w:rPr>
        <w:t xml:space="preserve"> </w:t>
      </w:r>
    </w:p>
    <w:p w14:paraId="78622DDD">
      <w:pPr>
        <w:spacing w:after="0" w:line="240" w:lineRule="auto"/>
        <w:ind w:firstLine="657" w:firstLineChars="25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п. 3 ст. 92.1 – по размеру дефицита бюджета.</w:t>
      </w:r>
    </w:p>
    <w:p w14:paraId="5CB52537">
      <w:pPr>
        <w:pStyle w:val="19"/>
        <w:spacing w:after="0"/>
        <w:ind w:left="0" w:firstLine="657" w:firstLineChars="253"/>
        <w:jc w:val="both"/>
        <w:rPr>
          <w:sz w:val="26"/>
          <w:szCs w:val="26"/>
        </w:rPr>
      </w:pPr>
      <w:r>
        <w:rPr>
          <w:sz w:val="26"/>
          <w:szCs w:val="26"/>
        </w:rPr>
        <w:t>Представленный проект решения не противоречит действующему законодательству и рекомендуется к рассмотрению на заседании Совета депутатов Богородского муниципального округа Нижегородской области.</w:t>
      </w:r>
    </w:p>
    <w:p w14:paraId="66446ADA">
      <w:pPr>
        <w:pStyle w:val="188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233C800C">
      <w:pPr>
        <w:pStyle w:val="188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425FD865">
      <w:pPr>
        <w:pStyle w:val="188"/>
        <w:spacing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Председатель контрольно-счетной</w:t>
      </w:r>
    </w:p>
    <w:p w14:paraId="05029484">
      <w:pPr>
        <w:pStyle w:val="188"/>
        <w:spacing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комиссии Богородского муниципального </w:t>
      </w:r>
    </w:p>
    <w:p w14:paraId="023B2B58">
      <w:pPr>
        <w:pStyle w:val="188"/>
        <w:spacing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округа Нижегородской области</w:t>
      </w: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 xml:space="preserve">          Н.В.Гуськова </w:t>
      </w:r>
    </w:p>
    <w:p w14:paraId="0AFDF5C5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after="0"/>
        <w:rPr>
          <w:rFonts w:ascii="Times New Roman" w:hAnsi="Times New Roman"/>
          <w:sz w:val="26"/>
          <w:szCs w:val="26"/>
        </w:rPr>
      </w:pPr>
      <w:r>
        <w:rPr>
          <w:rFonts w:hint="default" w:ascii="Times New Roman" w:hAnsi="Times New Roman"/>
          <w:color w:val="000000"/>
          <w:sz w:val="24"/>
          <w:lang w:val="ru-RU"/>
        </w:rPr>
        <w:t>17</w:t>
      </w:r>
      <w:r>
        <w:rPr>
          <w:rFonts w:ascii="Times New Roman" w:hAnsi="Times New Roman"/>
          <w:color w:val="000000"/>
          <w:sz w:val="24"/>
        </w:rPr>
        <w:t>.</w:t>
      </w:r>
      <w:r>
        <w:rPr>
          <w:rFonts w:hint="default" w:ascii="Times New Roman" w:hAnsi="Times New Roman"/>
          <w:color w:val="000000"/>
          <w:sz w:val="24"/>
          <w:lang w:val="ru-RU"/>
        </w:rPr>
        <w:t>03</w:t>
      </w:r>
      <w:r>
        <w:rPr>
          <w:rFonts w:ascii="Times New Roman" w:hAnsi="Times New Roman"/>
          <w:color w:val="000000"/>
          <w:sz w:val="24"/>
        </w:rPr>
        <w:t>.202</w:t>
      </w:r>
      <w:r>
        <w:rPr>
          <w:rFonts w:hint="default" w:ascii="Times New Roman" w:hAnsi="Times New Roman"/>
          <w:color w:val="000000"/>
          <w:sz w:val="24"/>
          <w:lang w:val="ru-RU"/>
        </w:rPr>
        <w:t>6</w:t>
      </w:r>
    </w:p>
    <w:sectPr>
      <w:pgSz w:w="11906" w:h="16838"/>
      <w:pgMar w:top="993" w:right="965" w:bottom="1135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1E3AC70"/>
    <w:multiLevelType w:val="singleLevel"/>
    <w:tmpl w:val="D1E3AC70"/>
    <w:lvl w:ilvl="0" w:tentative="0">
      <w:start w:val="1"/>
      <w:numFmt w:val="decimal"/>
      <w:suff w:val="space"/>
      <w:lvlText w:val="%1)"/>
      <w:lvlJc w:val="left"/>
    </w:lvl>
  </w:abstractNum>
  <w:abstractNum w:abstractNumId="1">
    <w:nsid w:val="05C510E3"/>
    <w:multiLevelType w:val="multilevel"/>
    <w:tmpl w:val="05C510E3"/>
    <w:lvl w:ilvl="0" w:tentative="0">
      <w:start w:val="1"/>
      <w:numFmt w:val="decimal"/>
      <w:lvlText w:val="%1)"/>
      <w:lvlJc w:val="left"/>
      <w:pPr>
        <w:ind w:left="-60"/>
      </w:pPr>
      <w:rPr>
        <w:color w:val="auto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AF1B57"/>
    <w:multiLevelType w:val="multilevel"/>
    <w:tmpl w:val="15AF1B57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4B02E6"/>
    <w:multiLevelType w:val="multilevel"/>
    <w:tmpl w:val="1D4B02E6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none"/>
      <w:lvlText w:val=""/>
      <w:lvlJc w:val="left"/>
      <w:pPr>
        <w:tabs>
          <w:tab w:val="left" w:pos="360"/>
        </w:tabs>
      </w:pPr>
    </w:lvl>
    <w:lvl w:ilvl="2" w:tentative="0">
      <w:start w:val="1"/>
      <w:numFmt w:val="none"/>
      <w:lvlText w:val=""/>
      <w:lvlJc w:val="left"/>
      <w:pPr>
        <w:tabs>
          <w:tab w:val="left" w:pos="360"/>
        </w:tabs>
      </w:pPr>
    </w:lvl>
    <w:lvl w:ilvl="3" w:tentative="0">
      <w:start w:val="1"/>
      <w:numFmt w:val="none"/>
      <w:lvlText w:val=""/>
      <w:lvlJc w:val="left"/>
      <w:pPr>
        <w:tabs>
          <w:tab w:val="left" w:pos="360"/>
        </w:tabs>
      </w:pPr>
    </w:lvl>
    <w:lvl w:ilvl="4" w:tentative="0">
      <w:start w:val="1"/>
      <w:numFmt w:val="none"/>
      <w:lvlText w:val=""/>
      <w:lvlJc w:val="left"/>
      <w:pPr>
        <w:tabs>
          <w:tab w:val="left" w:pos="360"/>
        </w:tabs>
      </w:pPr>
    </w:lvl>
    <w:lvl w:ilvl="5" w:tentative="0">
      <w:start w:val="1"/>
      <w:numFmt w:val="none"/>
      <w:lvlText w:val=""/>
      <w:lvlJc w:val="left"/>
      <w:pPr>
        <w:tabs>
          <w:tab w:val="left" w:pos="360"/>
        </w:tabs>
      </w:pPr>
    </w:lvl>
    <w:lvl w:ilvl="6" w:tentative="0">
      <w:start w:val="1"/>
      <w:numFmt w:val="none"/>
      <w:lvlText w:val=""/>
      <w:lvlJc w:val="left"/>
      <w:pPr>
        <w:tabs>
          <w:tab w:val="left" w:pos="360"/>
        </w:tabs>
      </w:pPr>
    </w:lvl>
    <w:lvl w:ilvl="7" w:tentative="0">
      <w:start w:val="1"/>
      <w:numFmt w:val="none"/>
      <w:lvlText w:val=""/>
      <w:lvlJc w:val="left"/>
      <w:pPr>
        <w:tabs>
          <w:tab w:val="left" w:pos="360"/>
        </w:tabs>
      </w:pPr>
    </w:lvl>
    <w:lvl w:ilvl="8" w:tentative="0">
      <w:start w:val="1"/>
      <w:numFmt w:val="none"/>
      <w:lvlText w:val=""/>
      <w:lvlJc w:val="left"/>
      <w:pPr>
        <w:tabs>
          <w:tab w:val="left" w:pos="360"/>
        </w:tabs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038"/>
    <w:rsid w:val="0000096D"/>
    <w:rsid w:val="00006AC2"/>
    <w:rsid w:val="000167CE"/>
    <w:rsid w:val="00021463"/>
    <w:rsid w:val="0004438D"/>
    <w:rsid w:val="00072D91"/>
    <w:rsid w:val="000A12F7"/>
    <w:rsid w:val="000A49BB"/>
    <w:rsid w:val="000B0B74"/>
    <w:rsid w:val="000F48F3"/>
    <w:rsid w:val="000F7FF5"/>
    <w:rsid w:val="00103BA2"/>
    <w:rsid w:val="001336DB"/>
    <w:rsid w:val="00142B2E"/>
    <w:rsid w:val="001431CF"/>
    <w:rsid w:val="00167EE0"/>
    <w:rsid w:val="001A1A4D"/>
    <w:rsid w:val="001B3D40"/>
    <w:rsid w:val="001B604B"/>
    <w:rsid w:val="001D0807"/>
    <w:rsid w:val="001E0B4E"/>
    <w:rsid w:val="001F49ED"/>
    <w:rsid w:val="002121AE"/>
    <w:rsid w:val="002371E6"/>
    <w:rsid w:val="00246A2F"/>
    <w:rsid w:val="002536E7"/>
    <w:rsid w:val="0026743D"/>
    <w:rsid w:val="00277333"/>
    <w:rsid w:val="00296286"/>
    <w:rsid w:val="002A33B6"/>
    <w:rsid w:val="002B2B27"/>
    <w:rsid w:val="002D2AD4"/>
    <w:rsid w:val="003039B2"/>
    <w:rsid w:val="00303C35"/>
    <w:rsid w:val="003141AA"/>
    <w:rsid w:val="00330709"/>
    <w:rsid w:val="003330AE"/>
    <w:rsid w:val="00341906"/>
    <w:rsid w:val="00356139"/>
    <w:rsid w:val="00362AE1"/>
    <w:rsid w:val="0039034C"/>
    <w:rsid w:val="00390B02"/>
    <w:rsid w:val="003D3419"/>
    <w:rsid w:val="004034E2"/>
    <w:rsid w:val="004454FA"/>
    <w:rsid w:val="004507E8"/>
    <w:rsid w:val="00450AE9"/>
    <w:rsid w:val="00453038"/>
    <w:rsid w:val="004A759A"/>
    <w:rsid w:val="004E18C6"/>
    <w:rsid w:val="004E716F"/>
    <w:rsid w:val="00502A76"/>
    <w:rsid w:val="00502BBF"/>
    <w:rsid w:val="00505924"/>
    <w:rsid w:val="005212CD"/>
    <w:rsid w:val="00522626"/>
    <w:rsid w:val="00522A16"/>
    <w:rsid w:val="00525441"/>
    <w:rsid w:val="00535A9A"/>
    <w:rsid w:val="005510F5"/>
    <w:rsid w:val="00563FA9"/>
    <w:rsid w:val="00572D62"/>
    <w:rsid w:val="005809EC"/>
    <w:rsid w:val="005973CE"/>
    <w:rsid w:val="005A24F7"/>
    <w:rsid w:val="005B3760"/>
    <w:rsid w:val="005B503A"/>
    <w:rsid w:val="00613BD2"/>
    <w:rsid w:val="006535F9"/>
    <w:rsid w:val="00665CBD"/>
    <w:rsid w:val="006672A0"/>
    <w:rsid w:val="006B2DA7"/>
    <w:rsid w:val="006C06B0"/>
    <w:rsid w:val="006C10F7"/>
    <w:rsid w:val="00710C19"/>
    <w:rsid w:val="007347DE"/>
    <w:rsid w:val="00736113"/>
    <w:rsid w:val="00763AD4"/>
    <w:rsid w:val="00770664"/>
    <w:rsid w:val="00774E16"/>
    <w:rsid w:val="00784A7E"/>
    <w:rsid w:val="007E4536"/>
    <w:rsid w:val="007F414C"/>
    <w:rsid w:val="0080443A"/>
    <w:rsid w:val="00832F51"/>
    <w:rsid w:val="00870D43"/>
    <w:rsid w:val="008A497C"/>
    <w:rsid w:val="008B0FBD"/>
    <w:rsid w:val="008C2A78"/>
    <w:rsid w:val="008C60B6"/>
    <w:rsid w:val="008E210C"/>
    <w:rsid w:val="008E28FA"/>
    <w:rsid w:val="008F034C"/>
    <w:rsid w:val="00905050"/>
    <w:rsid w:val="009179D1"/>
    <w:rsid w:val="00941B00"/>
    <w:rsid w:val="0098078B"/>
    <w:rsid w:val="00984E0E"/>
    <w:rsid w:val="009C0999"/>
    <w:rsid w:val="009C2694"/>
    <w:rsid w:val="009C6F8C"/>
    <w:rsid w:val="009E1460"/>
    <w:rsid w:val="009E16F3"/>
    <w:rsid w:val="00A04D18"/>
    <w:rsid w:val="00A54215"/>
    <w:rsid w:val="00A67B02"/>
    <w:rsid w:val="00A72867"/>
    <w:rsid w:val="00A87A72"/>
    <w:rsid w:val="00AA742D"/>
    <w:rsid w:val="00AB5A40"/>
    <w:rsid w:val="00AC3073"/>
    <w:rsid w:val="00AE3A60"/>
    <w:rsid w:val="00B12A47"/>
    <w:rsid w:val="00B12C5C"/>
    <w:rsid w:val="00B156DF"/>
    <w:rsid w:val="00B232BE"/>
    <w:rsid w:val="00B43A5D"/>
    <w:rsid w:val="00B55F6E"/>
    <w:rsid w:val="00B726DA"/>
    <w:rsid w:val="00B75C44"/>
    <w:rsid w:val="00B82753"/>
    <w:rsid w:val="00B82BAD"/>
    <w:rsid w:val="00BA1D1E"/>
    <w:rsid w:val="00BB2038"/>
    <w:rsid w:val="00BE1AB1"/>
    <w:rsid w:val="00BE2DE6"/>
    <w:rsid w:val="00BE31F9"/>
    <w:rsid w:val="00BF5847"/>
    <w:rsid w:val="00C241DB"/>
    <w:rsid w:val="00C3574E"/>
    <w:rsid w:val="00C5767B"/>
    <w:rsid w:val="00C6666F"/>
    <w:rsid w:val="00C916A5"/>
    <w:rsid w:val="00C91988"/>
    <w:rsid w:val="00C920E5"/>
    <w:rsid w:val="00D207F1"/>
    <w:rsid w:val="00D27083"/>
    <w:rsid w:val="00D3048A"/>
    <w:rsid w:val="00D35B25"/>
    <w:rsid w:val="00D4502C"/>
    <w:rsid w:val="00D758F6"/>
    <w:rsid w:val="00D80ADF"/>
    <w:rsid w:val="00DA65A2"/>
    <w:rsid w:val="00DB062D"/>
    <w:rsid w:val="00DC0280"/>
    <w:rsid w:val="00DC0B5A"/>
    <w:rsid w:val="00DD644F"/>
    <w:rsid w:val="00E03CE8"/>
    <w:rsid w:val="00E27D8C"/>
    <w:rsid w:val="00E351BF"/>
    <w:rsid w:val="00E45863"/>
    <w:rsid w:val="00E661F4"/>
    <w:rsid w:val="00E72892"/>
    <w:rsid w:val="00E86241"/>
    <w:rsid w:val="00EA352B"/>
    <w:rsid w:val="00EC4245"/>
    <w:rsid w:val="00ED5F12"/>
    <w:rsid w:val="00EE07CA"/>
    <w:rsid w:val="00EE5F20"/>
    <w:rsid w:val="00EF0584"/>
    <w:rsid w:val="00F047AB"/>
    <w:rsid w:val="00F302FC"/>
    <w:rsid w:val="00F430EB"/>
    <w:rsid w:val="00F7124C"/>
    <w:rsid w:val="00F85512"/>
    <w:rsid w:val="00F8698C"/>
    <w:rsid w:val="00FA031A"/>
    <w:rsid w:val="00FD1949"/>
    <w:rsid w:val="00FD34F5"/>
    <w:rsid w:val="00FF08C5"/>
    <w:rsid w:val="017C1F56"/>
    <w:rsid w:val="01EB50C9"/>
    <w:rsid w:val="033C59C6"/>
    <w:rsid w:val="03D72572"/>
    <w:rsid w:val="040F5773"/>
    <w:rsid w:val="05773987"/>
    <w:rsid w:val="08506633"/>
    <w:rsid w:val="08C2146E"/>
    <w:rsid w:val="095D5331"/>
    <w:rsid w:val="09D0475C"/>
    <w:rsid w:val="0A57305D"/>
    <w:rsid w:val="0A663F99"/>
    <w:rsid w:val="0E6620EF"/>
    <w:rsid w:val="0E795E8E"/>
    <w:rsid w:val="0F1A6058"/>
    <w:rsid w:val="10AC4A40"/>
    <w:rsid w:val="123F21C2"/>
    <w:rsid w:val="16387814"/>
    <w:rsid w:val="174A7134"/>
    <w:rsid w:val="174B23F8"/>
    <w:rsid w:val="1A212ADE"/>
    <w:rsid w:val="1B0D380B"/>
    <w:rsid w:val="1BA8257F"/>
    <w:rsid w:val="1D44409F"/>
    <w:rsid w:val="1EC5770B"/>
    <w:rsid w:val="20252C50"/>
    <w:rsid w:val="218D3C49"/>
    <w:rsid w:val="22804282"/>
    <w:rsid w:val="228F7F7C"/>
    <w:rsid w:val="271F52BE"/>
    <w:rsid w:val="278F0DF5"/>
    <w:rsid w:val="29557925"/>
    <w:rsid w:val="29CB32FD"/>
    <w:rsid w:val="2B995F99"/>
    <w:rsid w:val="2BD337CD"/>
    <w:rsid w:val="2C372864"/>
    <w:rsid w:val="2EB83193"/>
    <w:rsid w:val="2EFE0757"/>
    <w:rsid w:val="2F093B3A"/>
    <w:rsid w:val="303059B9"/>
    <w:rsid w:val="32B003EE"/>
    <w:rsid w:val="3647326D"/>
    <w:rsid w:val="36ED1F13"/>
    <w:rsid w:val="3B056CE2"/>
    <w:rsid w:val="3B745E2B"/>
    <w:rsid w:val="3C9F21FA"/>
    <w:rsid w:val="3CEC5B9B"/>
    <w:rsid w:val="3E22754F"/>
    <w:rsid w:val="3E900341"/>
    <w:rsid w:val="3F8B2050"/>
    <w:rsid w:val="40520794"/>
    <w:rsid w:val="413C64BB"/>
    <w:rsid w:val="42016925"/>
    <w:rsid w:val="4386542C"/>
    <w:rsid w:val="441A52C7"/>
    <w:rsid w:val="441D1ACF"/>
    <w:rsid w:val="441D624B"/>
    <w:rsid w:val="492A1A2C"/>
    <w:rsid w:val="4CF22055"/>
    <w:rsid w:val="4CF46CCF"/>
    <w:rsid w:val="4E210709"/>
    <w:rsid w:val="4F7A20A8"/>
    <w:rsid w:val="503F49D5"/>
    <w:rsid w:val="50D97F6E"/>
    <w:rsid w:val="520A6B93"/>
    <w:rsid w:val="52D41C73"/>
    <w:rsid w:val="52E40364"/>
    <w:rsid w:val="53E57625"/>
    <w:rsid w:val="545819D6"/>
    <w:rsid w:val="546F7724"/>
    <w:rsid w:val="54890893"/>
    <w:rsid w:val="5B553D2A"/>
    <w:rsid w:val="5DAD533E"/>
    <w:rsid w:val="5DC913EB"/>
    <w:rsid w:val="5E805317"/>
    <w:rsid w:val="5E941AD8"/>
    <w:rsid w:val="60D81969"/>
    <w:rsid w:val="60E5134B"/>
    <w:rsid w:val="629835F8"/>
    <w:rsid w:val="63672527"/>
    <w:rsid w:val="64B7454D"/>
    <w:rsid w:val="67F56F1D"/>
    <w:rsid w:val="69D23A98"/>
    <w:rsid w:val="6AED06A1"/>
    <w:rsid w:val="6DEE6AE4"/>
    <w:rsid w:val="6E2F043D"/>
    <w:rsid w:val="6FA4387E"/>
    <w:rsid w:val="6FCA3275"/>
    <w:rsid w:val="72982AA9"/>
    <w:rsid w:val="743950BE"/>
    <w:rsid w:val="762B7CFF"/>
    <w:rsid w:val="77042FD3"/>
    <w:rsid w:val="7A324B98"/>
    <w:rsid w:val="7C09154E"/>
    <w:rsid w:val="7F9F0507"/>
    <w:rsid w:val="7FB638B2"/>
    <w:rsid w:val="7FFD24B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basedOn w:val="2"/>
    <w:unhideWhenUsed/>
    <w:qFormat/>
    <w:uiPriority w:val="99"/>
    <w:rPr>
      <w:vertAlign w:val="superscript"/>
    </w:rPr>
  </w:style>
  <w:style w:type="character" w:styleId="5">
    <w:name w:val="endnote reference"/>
    <w:basedOn w:val="2"/>
    <w:semiHidden/>
    <w:unhideWhenUsed/>
    <w:qFormat/>
    <w:uiPriority w:val="99"/>
    <w:rPr>
      <w:vertAlign w:val="superscript"/>
    </w:rPr>
  </w:style>
  <w:style w:type="character" w:styleId="6">
    <w:name w:val="Hyperlink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endnote text"/>
    <w:basedOn w:val="1"/>
    <w:link w:val="186"/>
    <w:semiHidden/>
    <w:unhideWhenUsed/>
    <w:qFormat/>
    <w:uiPriority w:val="99"/>
    <w:pPr>
      <w:spacing w:after="0" w:line="240" w:lineRule="auto"/>
    </w:pPr>
    <w:rPr>
      <w:sz w:val="20"/>
    </w:rPr>
  </w:style>
  <w:style w:type="paragraph" w:styleId="8">
    <w:name w:val="footnote text"/>
    <w:basedOn w:val="1"/>
    <w:link w:val="185"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10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12">
    <w:name w:val="toc 1"/>
    <w:basedOn w:val="1"/>
    <w:next w:val="1"/>
    <w:unhideWhenUsed/>
    <w:qFormat/>
    <w:uiPriority w:val="39"/>
    <w:pPr>
      <w:spacing w:after="57"/>
    </w:pPr>
  </w:style>
  <w:style w:type="paragraph" w:styleId="13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14">
    <w:name w:val="table of figures"/>
    <w:basedOn w:val="1"/>
    <w:next w:val="1"/>
    <w:unhideWhenUsed/>
    <w:qFormat/>
    <w:uiPriority w:val="99"/>
    <w:pPr>
      <w:spacing w:after="0"/>
    </w:pPr>
  </w:style>
  <w:style w:type="paragraph" w:styleId="15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16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17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18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19">
    <w:name w:val="Body Text Indent"/>
    <w:basedOn w:val="1"/>
    <w:link w:val="189"/>
    <w:qFormat/>
    <w:uiPriority w:val="0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paragraph" w:styleId="20">
    <w:name w:val="Title"/>
    <w:basedOn w:val="1"/>
    <w:next w:val="1"/>
    <w:link w:val="48"/>
    <w:qFormat/>
    <w:uiPriority w:val="10"/>
    <w:pPr>
      <w:spacing w:before="300"/>
      <w:contextualSpacing/>
    </w:pPr>
    <w:rPr>
      <w:sz w:val="48"/>
      <w:szCs w:val="48"/>
    </w:rPr>
  </w:style>
  <w:style w:type="paragraph" w:styleId="21">
    <w:name w:val="Subtitle"/>
    <w:basedOn w:val="1"/>
    <w:next w:val="1"/>
    <w:link w:val="49"/>
    <w:qFormat/>
    <w:uiPriority w:val="11"/>
    <w:pPr>
      <w:spacing w:before="200"/>
    </w:pPr>
    <w:rPr>
      <w:sz w:val="24"/>
      <w:szCs w:val="24"/>
    </w:rPr>
  </w:style>
  <w:style w:type="table" w:styleId="22">
    <w:name w:val="Table Grid"/>
    <w:basedOn w:val="3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Title Char"/>
    <w:basedOn w:val="2"/>
    <w:qFormat/>
    <w:uiPriority w:val="10"/>
    <w:rPr>
      <w:sz w:val="48"/>
      <w:szCs w:val="48"/>
    </w:rPr>
  </w:style>
  <w:style w:type="character" w:customStyle="1" w:styleId="24">
    <w:name w:val="Subtitle Char"/>
    <w:basedOn w:val="2"/>
    <w:qFormat/>
    <w:uiPriority w:val="11"/>
    <w:rPr>
      <w:sz w:val="24"/>
      <w:szCs w:val="24"/>
    </w:rPr>
  </w:style>
  <w:style w:type="character" w:customStyle="1" w:styleId="25">
    <w:name w:val="Quote Char"/>
    <w:qFormat/>
    <w:uiPriority w:val="29"/>
    <w:rPr>
      <w:i/>
    </w:rPr>
  </w:style>
  <w:style w:type="character" w:customStyle="1" w:styleId="26">
    <w:name w:val="Intense Quote Char"/>
    <w:qFormat/>
    <w:uiPriority w:val="30"/>
    <w:rPr>
      <w:i/>
    </w:rPr>
  </w:style>
  <w:style w:type="character" w:customStyle="1" w:styleId="27">
    <w:name w:val="Footnote Text Char"/>
    <w:qFormat/>
    <w:uiPriority w:val="99"/>
    <w:rPr>
      <w:sz w:val="18"/>
    </w:rPr>
  </w:style>
  <w:style w:type="character" w:customStyle="1" w:styleId="28">
    <w:name w:val="Endnote Text Char"/>
    <w:qFormat/>
    <w:uiPriority w:val="99"/>
    <w:rPr>
      <w:sz w:val="20"/>
    </w:rPr>
  </w:style>
  <w:style w:type="paragraph" w:customStyle="1" w:styleId="29">
    <w:name w:val="Heading 1"/>
    <w:basedOn w:val="1"/>
    <w:next w:val="1"/>
    <w:link w:val="30"/>
    <w:qFormat/>
    <w:uiPriority w:val="9"/>
    <w:pPr>
      <w:keepNext/>
      <w:keepLines/>
      <w:spacing w:before="480"/>
      <w:outlineLvl w:val="0"/>
    </w:pPr>
    <w:rPr>
      <w:rFonts w:ascii="Arial" w:hAnsi="Arial" w:eastAsia="Arial" w:cs="Arial"/>
      <w:sz w:val="40"/>
      <w:szCs w:val="40"/>
    </w:rPr>
  </w:style>
  <w:style w:type="character" w:customStyle="1" w:styleId="30">
    <w:name w:val="Heading 1 Char"/>
    <w:basedOn w:val="2"/>
    <w:link w:val="29"/>
    <w:qFormat/>
    <w:uiPriority w:val="9"/>
    <w:rPr>
      <w:rFonts w:ascii="Arial" w:hAnsi="Arial" w:eastAsia="Arial" w:cs="Arial"/>
      <w:sz w:val="40"/>
      <w:szCs w:val="40"/>
    </w:rPr>
  </w:style>
  <w:style w:type="paragraph" w:customStyle="1" w:styleId="31">
    <w:name w:val="Heading 2"/>
    <w:basedOn w:val="1"/>
    <w:next w:val="1"/>
    <w:link w:val="32"/>
    <w:unhideWhenUsed/>
    <w:qFormat/>
    <w:uiPriority w:val="9"/>
    <w:pPr>
      <w:keepNext/>
      <w:keepLines/>
      <w:spacing w:before="360"/>
      <w:outlineLvl w:val="1"/>
    </w:pPr>
    <w:rPr>
      <w:rFonts w:ascii="Arial" w:hAnsi="Arial" w:eastAsia="Arial" w:cs="Arial"/>
      <w:sz w:val="34"/>
    </w:rPr>
  </w:style>
  <w:style w:type="character" w:customStyle="1" w:styleId="32">
    <w:name w:val="Heading 2 Char"/>
    <w:basedOn w:val="2"/>
    <w:link w:val="31"/>
    <w:qFormat/>
    <w:uiPriority w:val="9"/>
    <w:rPr>
      <w:rFonts w:ascii="Arial" w:hAnsi="Arial" w:eastAsia="Arial" w:cs="Arial"/>
      <w:sz w:val="34"/>
    </w:rPr>
  </w:style>
  <w:style w:type="paragraph" w:customStyle="1" w:styleId="33">
    <w:name w:val="Heading 3"/>
    <w:basedOn w:val="1"/>
    <w:next w:val="1"/>
    <w:link w:val="34"/>
    <w:unhideWhenUsed/>
    <w:qFormat/>
    <w:uiPriority w:val="9"/>
    <w:pPr>
      <w:keepNext/>
      <w:keepLines/>
      <w:spacing w:before="320"/>
      <w:outlineLvl w:val="2"/>
    </w:pPr>
    <w:rPr>
      <w:rFonts w:ascii="Arial" w:hAnsi="Arial" w:eastAsia="Arial" w:cs="Arial"/>
      <w:sz w:val="30"/>
      <w:szCs w:val="30"/>
    </w:rPr>
  </w:style>
  <w:style w:type="character" w:customStyle="1" w:styleId="34">
    <w:name w:val="Heading 3 Char"/>
    <w:basedOn w:val="2"/>
    <w:link w:val="33"/>
    <w:qFormat/>
    <w:uiPriority w:val="9"/>
    <w:rPr>
      <w:rFonts w:ascii="Arial" w:hAnsi="Arial" w:eastAsia="Arial" w:cs="Arial"/>
      <w:sz w:val="30"/>
      <w:szCs w:val="30"/>
    </w:rPr>
  </w:style>
  <w:style w:type="paragraph" w:customStyle="1" w:styleId="35">
    <w:name w:val="Heading 4"/>
    <w:basedOn w:val="1"/>
    <w:next w:val="1"/>
    <w:link w:val="36"/>
    <w:unhideWhenUsed/>
    <w:qFormat/>
    <w:uiPriority w:val="9"/>
    <w:pPr>
      <w:keepNext/>
      <w:keepLines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customStyle="1" w:styleId="36">
    <w:name w:val="Heading 4 Char"/>
    <w:basedOn w:val="2"/>
    <w:link w:val="35"/>
    <w:qFormat/>
    <w:uiPriority w:val="9"/>
    <w:rPr>
      <w:rFonts w:ascii="Arial" w:hAnsi="Arial" w:eastAsia="Arial" w:cs="Arial"/>
      <w:b/>
      <w:bCs/>
      <w:sz w:val="26"/>
      <w:szCs w:val="26"/>
    </w:rPr>
  </w:style>
  <w:style w:type="paragraph" w:customStyle="1" w:styleId="37">
    <w:name w:val="Heading 5"/>
    <w:basedOn w:val="1"/>
    <w:next w:val="1"/>
    <w:link w:val="38"/>
    <w:unhideWhenUsed/>
    <w:qFormat/>
    <w:uiPriority w:val="9"/>
    <w:pPr>
      <w:keepNext/>
      <w:keepLines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customStyle="1" w:styleId="38">
    <w:name w:val="Heading 5 Char"/>
    <w:basedOn w:val="2"/>
    <w:link w:val="37"/>
    <w:qFormat/>
    <w:uiPriority w:val="9"/>
    <w:rPr>
      <w:rFonts w:ascii="Arial" w:hAnsi="Arial" w:eastAsia="Arial" w:cs="Arial"/>
      <w:b/>
      <w:bCs/>
      <w:sz w:val="24"/>
      <w:szCs w:val="24"/>
    </w:rPr>
  </w:style>
  <w:style w:type="paragraph" w:customStyle="1" w:styleId="39">
    <w:name w:val="Heading 6"/>
    <w:basedOn w:val="1"/>
    <w:next w:val="1"/>
    <w:link w:val="40"/>
    <w:unhideWhenUsed/>
    <w:qFormat/>
    <w:uiPriority w:val="9"/>
    <w:pPr>
      <w:keepNext/>
      <w:keepLines/>
      <w:spacing w:before="320"/>
      <w:outlineLvl w:val="5"/>
    </w:pPr>
    <w:rPr>
      <w:rFonts w:ascii="Arial" w:hAnsi="Arial" w:eastAsia="Arial" w:cs="Arial"/>
      <w:b/>
      <w:bCs/>
    </w:rPr>
  </w:style>
  <w:style w:type="character" w:customStyle="1" w:styleId="40">
    <w:name w:val="Heading 6 Char"/>
    <w:basedOn w:val="2"/>
    <w:link w:val="39"/>
    <w:qFormat/>
    <w:uiPriority w:val="9"/>
    <w:rPr>
      <w:rFonts w:ascii="Arial" w:hAnsi="Arial" w:eastAsia="Arial" w:cs="Arial"/>
      <w:b/>
      <w:bCs/>
      <w:sz w:val="22"/>
      <w:szCs w:val="22"/>
    </w:rPr>
  </w:style>
  <w:style w:type="paragraph" w:customStyle="1" w:styleId="41">
    <w:name w:val="Heading 7"/>
    <w:basedOn w:val="1"/>
    <w:next w:val="1"/>
    <w:link w:val="42"/>
    <w:unhideWhenUsed/>
    <w:qFormat/>
    <w:uiPriority w:val="9"/>
    <w:pPr>
      <w:keepNext/>
      <w:keepLines/>
      <w:spacing w:before="320"/>
      <w:outlineLvl w:val="6"/>
    </w:pPr>
    <w:rPr>
      <w:rFonts w:ascii="Arial" w:hAnsi="Arial" w:eastAsia="Arial" w:cs="Arial"/>
      <w:b/>
      <w:bCs/>
      <w:i/>
      <w:iCs/>
    </w:rPr>
  </w:style>
  <w:style w:type="character" w:customStyle="1" w:styleId="42">
    <w:name w:val="Heading 7 Char"/>
    <w:basedOn w:val="2"/>
    <w:link w:val="41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customStyle="1" w:styleId="43">
    <w:name w:val="Heading 8"/>
    <w:basedOn w:val="1"/>
    <w:next w:val="1"/>
    <w:link w:val="44"/>
    <w:unhideWhenUsed/>
    <w:qFormat/>
    <w:uiPriority w:val="9"/>
    <w:pPr>
      <w:keepNext/>
      <w:keepLines/>
      <w:spacing w:before="320"/>
      <w:outlineLvl w:val="7"/>
    </w:pPr>
    <w:rPr>
      <w:rFonts w:ascii="Arial" w:hAnsi="Arial" w:eastAsia="Arial" w:cs="Arial"/>
      <w:i/>
      <w:iCs/>
    </w:rPr>
  </w:style>
  <w:style w:type="character" w:customStyle="1" w:styleId="44">
    <w:name w:val="Heading 8 Char"/>
    <w:basedOn w:val="2"/>
    <w:link w:val="43"/>
    <w:qFormat/>
    <w:uiPriority w:val="9"/>
    <w:rPr>
      <w:rFonts w:ascii="Arial" w:hAnsi="Arial" w:eastAsia="Arial" w:cs="Arial"/>
      <w:i/>
      <w:iCs/>
      <w:sz w:val="22"/>
      <w:szCs w:val="22"/>
    </w:rPr>
  </w:style>
  <w:style w:type="paragraph" w:customStyle="1" w:styleId="45">
    <w:name w:val="Heading 9"/>
    <w:basedOn w:val="1"/>
    <w:next w:val="1"/>
    <w:link w:val="46"/>
    <w:unhideWhenUsed/>
    <w:qFormat/>
    <w:uiPriority w:val="9"/>
    <w:pPr>
      <w:keepNext/>
      <w:keepLines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customStyle="1" w:styleId="46">
    <w:name w:val="Heading 9 Char"/>
    <w:basedOn w:val="2"/>
    <w:link w:val="45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7">
    <w:name w:val="No Spacing"/>
    <w:qFormat/>
    <w:uiPriority w:val="1"/>
    <w:rPr>
      <w:rFonts w:ascii="Times New Roman" w:hAnsi="Times New Roman" w:eastAsia="SimSun" w:cs="Times New Roman"/>
      <w:lang w:val="ru-RU" w:eastAsia="ru-RU" w:bidi="ar-SA"/>
    </w:rPr>
  </w:style>
  <w:style w:type="character" w:customStyle="1" w:styleId="48">
    <w:name w:val="Название Знак"/>
    <w:basedOn w:val="2"/>
    <w:link w:val="20"/>
    <w:qFormat/>
    <w:uiPriority w:val="10"/>
    <w:rPr>
      <w:sz w:val="48"/>
      <w:szCs w:val="48"/>
    </w:rPr>
  </w:style>
  <w:style w:type="character" w:customStyle="1" w:styleId="49">
    <w:name w:val="Подзаголовок Знак"/>
    <w:basedOn w:val="2"/>
    <w:link w:val="21"/>
    <w:qFormat/>
    <w:uiPriority w:val="11"/>
    <w:rPr>
      <w:sz w:val="24"/>
      <w:szCs w:val="24"/>
    </w:rPr>
  </w:style>
  <w:style w:type="paragraph" w:styleId="50">
    <w:name w:val="Quote"/>
    <w:basedOn w:val="1"/>
    <w:next w:val="1"/>
    <w:link w:val="51"/>
    <w:qFormat/>
    <w:uiPriority w:val="29"/>
    <w:pPr>
      <w:ind w:left="720" w:right="720"/>
    </w:pPr>
    <w:rPr>
      <w:i/>
    </w:rPr>
  </w:style>
  <w:style w:type="character" w:customStyle="1" w:styleId="51">
    <w:name w:val="Цитата 2 Знак"/>
    <w:link w:val="50"/>
    <w:qFormat/>
    <w:uiPriority w:val="29"/>
    <w:rPr>
      <w:i/>
    </w:rPr>
  </w:style>
  <w:style w:type="paragraph" w:styleId="52">
    <w:name w:val="Intense Quote"/>
    <w:basedOn w:val="1"/>
    <w:next w:val="1"/>
    <w:link w:val="53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customStyle="1" w:styleId="53">
    <w:name w:val="Выделенная цитата Знак"/>
    <w:link w:val="52"/>
    <w:qFormat/>
    <w:uiPriority w:val="30"/>
    <w:rPr>
      <w:i/>
    </w:rPr>
  </w:style>
  <w:style w:type="character" w:customStyle="1" w:styleId="54">
    <w:name w:val="Header Char"/>
    <w:basedOn w:val="2"/>
    <w:link w:val="55"/>
    <w:qFormat/>
    <w:uiPriority w:val="99"/>
  </w:style>
  <w:style w:type="paragraph" w:customStyle="1" w:styleId="55">
    <w:name w:val="Header"/>
    <w:basedOn w:val="1"/>
    <w:link w:val="54"/>
    <w:semiHidden/>
    <w:unhideWhenUsed/>
    <w:qFormat/>
    <w:uiPriority w:val="99"/>
    <w:pPr>
      <w:tabs>
        <w:tab w:val="center" w:pos="4153"/>
        <w:tab w:val="right" w:pos="8306"/>
      </w:tabs>
    </w:pPr>
  </w:style>
  <w:style w:type="character" w:customStyle="1" w:styleId="56">
    <w:name w:val="Footer Char"/>
    <w:basedOn w:val="2"/>
    <w:qFormat/>
    <w:uiPriority w:val="99"/>
  </w:style>
  <w:style w:type="paragraph" w:customStyle="1" w:styleId="57">
    <w:name w:val="Caption"/>
    <w:basedOn w:val="1"/>
    <w:next w:val="1"/>
    <w:semiHidden/>
    <w:unhideWhenUsed/>
    <w:qFormat/>
    <w:uiPriority w:val="35"/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character" w:customStyle="1" w:styleId="58">
    <w:name w:val="Caption Char"/>
    <w:link w:val="59"/>
    <w:qFormat/>
    <w:uiPriority w:val="99"/>
  </w:style>
  <w:style w:type="paragraph" w:customStyle="1" w:styleId="59">
    <w:name w:val="Footer"/>
    <w:basedOn w:val="1"/>
    <w:link w:val="58"/>
    <w:semiHidden/>
    <w:unhideWhenUsed/>
    <w:qFormat/>
    <w:uiPriority w:val="99"/>
    <w:pPr>
      <w:tabs>
        <w:tab w:val="center" w:pos="4153"/>
        <w:tab w:val="right" w:pos="8306"/>
      </w:tabs>
    </w:pPr>
  </w:style>
  <w:style w:type="table" w:customStyle="1" w:styleId="60">
    <w:name w:val="Table Grid Light"/>
    <w:basedOn w:val="3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Plain Table 1"/>
    <w:basedOn w:val="3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FFFFF" w:themeColor="text1" w:themeTint="00" w:fill="FFFFFF" w:themeFill="text1" w:themeFillTint="00"/>
      </w:tcPr>
    </w:tblStylePr>
    <w:tblStylePr w:type="band1Horz">
      <w:tcPr>
        <w:shd w:val="clear" w:color="FFFFFF" w:themeColor="text1" w:themeTint="00" w:fill="FFFFFF" w:themeFill="text1" w:themeFillTint="00"/>
      </w:tcPr>
    </w:tblStylePr>
  </w:style>
  <w:style w:type="table" w:customStyle="1" w:styleId="62">
    <w:name w:val="Plain Table 2"/>
    <w:basedOn w:val="3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63">
    <w:name w:val="Plain Table 3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</w:style>
  <w:style w:type="table" w:customStyle="1" w:styleId="64">
    <w:name w:val="Plain Table 4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</w:style>
  <w:style w:type="table" w:customStyle="1" w:styleId="65">
    <w:name w:val="Plain Table 5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</w:style>
  <w:style w:type="table" w:customStyle="1" w:styleId="66">
    <w:name w:val="Grid Table 1 Light"/>
    <w:basedOn w:val="3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7">
    <w:name w:val="Grid Table 1 Light - Accent 1"/>
    <w:basedOn w:val="3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8">
    <w:name w:val="Grid Table 1 Light - Accent 2"/>
    <w:basedOn w:val="3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9">
    <w:name w:val="Grid Table 1 Light - Accent 3"/>
    <w:basedOn w:val="3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70">
    <w:name w:val="Grid Table 1 Light - Accent 4"/>
    <w:basedOn w:val="3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71">
    <w:name w:val="Grid Table 1 Light - Accent 5"/>
    <w:basedOn w:val="3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72">
    <w:name w:val="Grid Table 1 Light - Accent 6"/>
    <w:basedOn w:val="3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73">
    <w:name w:val="Grid Table 2"/>
    <w:basedOn w:val="3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4">
    <w:name w:val="Grid Table 2 - Accent 1"/>
    <w:basedOn w:val="3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75">
    <w:name w:val="Grid Table 2 - Accent 2"/>
    <w:basedOn w:val="3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76">
    <w:name w:val="Grid Table 2 - Accent 3"/>
    <w:basedOn w:val="3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77">
    <w:name w:val="Grid Table 2 - Accent 4"/>
    <w:basedOn w:val="3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78">
    <w:name w:val="Grid Table 2 - Accent 5"/>
    <w:basedOn w:val="3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79">
    <w:name w:val="Grid Table 2 - Accent 6"/>
    <w:basedOn w:val="3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0">
    <w:name w:val="Grid Table 3"/>
    <w:basedOn w:val="3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1">
    <w:name w:val="Grid Table 3 - Accent 1"/>
    <w:basedOn w:val="3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82">
    <w:name w:val="Grid Table 3 - Accent 2"/>
    <w:basedOn w:val="3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83">
    <w:name w:val="Grid Table 3 - Accent 3"/>
    <w:basedOn w:val="3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84">
    <w:name w:val="Grid Table 3 - Accent 4"/>
    <w:basedOn w:val="3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85">
    <w:name w:val="Grid Table 3 - Accent 5"/>
    <w:basedOn w:val="3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86">
    <w:name w:val="Grid Table 3 - Accent 6"/>
    <w:basedOn w:val="3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7">
    <w:name w:val="Grid Table 4"/>
    <w:basedOn w:val="3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8">
    <w:name w:val="Grid Table 4 - Accent 1"/>
    <w:basedOn w:val="3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</w:style>
  <w:style w:type="table" w:customStyle="1" w:styleId="89">
    <w:name w:val="Grid Table 4 - Accent 2"/>
    <w:basedOn w:val="3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90">
    <w:name w:val="Grid Table 4 - Accent 3"/>
    <w:basedOn w:val="3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91">
    <w:name w:val="Grid Table 4 - Accent 4"/>
    <w:basedOn w:val="3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92">
    <w:name w:val="Grid Table 4 - Accent 5"/>
    <w:basedOn w:val="3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93">
    <w:name w:val="Grid Table 4 - Accent 6"/>
    <w:basedOn w:val="3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94">
    <w:name w:val="Grid Table 5 Dark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95">
    <w:name w:val="Grid Table 5 Dark- Accent 1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band1Vert">
      <w:tcPr>
        <w:shd w:val="clear" w:color="AEC5E0" w:themeColor="accent1" w:themeTint="75" w:fill="AEC5E0" w:themeFill="accent1" w:themeFillTint="75"/>
      </w:tcPr>
    </w:tblStylePr>
    <w:tblStylePr w:type="band1Horz">
      <w:tcPr>
        <w:shd w:val="clear" w:color="AEC5E0" w:themeColor="accent1" w:themeTint="75" w:fill="AEC5E0" w:themeFill="accent1" w:themeFillTint="75"/>
      </w:tcPr>
    </w:tblStylePr>
  </w:style>
  <w:style w:type="table" w:customStyle="1" w:styleId="96">
    <w:name w:val="Grid Table 5 Dark - Accent 2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band1Horz">
      <w:tcPr>
        <w:shd w:val="clear" w:color="E2AEAD" w:themeColor="accent2" w:themeTint="75" w:fill="E2AEAD" w:themeFill="accent2" w:themeFillTint="75"/>
      </w:tcPr>
    </w:tblStylePr>
  </w:style>
  <w:style w:type="table" w:customStyle="1" w:styleId="97">
    <w:name w:val="Grid Table 5 Dark - Accent 3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band1Vert">
      <w:tcPr>
        <w:shd w:val="clear" w:color="D1DFB2" w:themeColor="accent3" w:themeTint="75" w:fill="D1DFB2" w:themeFill="accent3" w:themeFillTint="75"/>
      </w:tcPr>
    </w:tblStylePr>
    <w:tblStylePr w:type="band1Horz">
      <w:tcPr>
        <w:shd w:val="clear" w:color="D1DFB2" w:themeColor="accent3" w:themeTint="75" w:fill="D1DFB2" w:themeFill="accent3" w:themeFillTint="75"/>
      </w:tcPr>
    </w:tblStylePr>
  </w:style>
  <w:style w:type="table" w:customStyle="1" w:styleId="98">
    <w:name w:val="Grid Table 5 Dark- Accent 4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band1Horz">
      <w:tcPr>
        <w:shd w:val="clear" w:color="C4B7D4" w:themeColor="accent4" w:themeTint="75" w:fill="C4B7D4" w:themeFill="accent4" w:themeFillTint="75"/>
      </w:tcPr>
    </w:tblStylePr>
  </w:style>
  <w:style w:type="table" w:customStyle="1" w:styleId="99">
    <w:name w:val="Grid Table 5 Dark - Accent 5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band1Horz">
      <w:tcPr>
        <w:shd w:val="clear" w:color="ACD8E4" w:themeColor="accent5" w:themeTint="75" w:fill="ACD8E4" w:themeFill="accent5" w:themeFillTint="75"/>
      </w:tcPr>
    </w:tblStylePr>
  </w:style>
  <w:style w:type="table" w:customStyle="1" w:styleId="100">
    <w:name w:val="Grid Table 5 Dark - Accent 6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band1Horz">
      <w:tcPr>
        <w:shd w:val="clear" w:color="FBCEAA" w:themeColor="accent6" w:themeTint="75" w:fill="FBCEAA" w:themeFill="accent6" w:themeFillTint="75"/>
      </w:tcPr>
    </w:tblStylePr>
  </w:style>
  <w:style w:type="table" w:customStyle="1" w:styleId="101">
    <w:name w:val="Grid Table 6 Colorful"/>
    <w:basedOn w:val="3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2">
    <w:name w:val="Grid Table 6 Colorful - Accent 1"/>
    <w:basedOn w:val="3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3">
    <w:name w:val="Grid Table 6 Colorful - Accent 2"/>
    <w:basedOn w:val="3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4">
    <w:name w:val="Grid Table 6 Colorful - Accent 3"/>
    <w:basedOn w:val="3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 w:themeColor="accent3"/>
        <w14:textFill>
          <w14:solidFill>
            <w14:schemeClr w14:val="accent3"/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/>
        <w14:textFill>
          <w14:solidFill>
            <w14:schemeClr w14:val="accent3"/>
          </w14:solidFill>
        </w14:textFill>
      </w:rPr>
    </w:tblStylePr>
    <w:tblStylePr w:type="firstCol">
      <w:rPr>
        <w:b/>
        <w:color w:val="9BBB59" w:themeColor="accent3"/>
        <w14:textFill>
          <w14:solidFill>
            <w14:schemeClr w14:val="accent3"/>
          </w14:solidFill>
        </w14:textFill>
      </w:rPr>
    </w:tblStylePr>
    <w:tblStylePr w:type="lastCol">
      <w:rPr>
        <w:b/>
        <w:color w:val="9BBB59" w:themeColor="accent3"/>
        <w14:textFill>
          <w14:solidFill>
            <w14:schemeClr w14:val="accent3"/>
          </w14:solidFill>
        </w14:textFill>
      </w:r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/>
        <w:sz w:val="22"/>
        <w14:textFill>
          <w14:solidFill>
            <w14:schemeClr w14:val="accent3"/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/>
        <w:sz w:val="22"/>
        <w14:textFill>
          <w14:solidFill>
            <w14:schemeClr w14:val="accent3"/>
          </w14:solidFill>
        </w14:textFill>
      </w:rPr>
    </w:tblStylePr>
  </w:style>
  <w:style w:type="table" w:customStyle="1" w:styleId="105">
    <w:name w:val="Grid Table 6 Colorful - Accent 4"/>
    <w:basedOn w:val="3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6">
    <w:name w:val="Grid Table 6 Colorful - Accent 5"/>
    <w:basedOn w:val="3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7">
    <w:name w:val="Grid Table 6 Colorful - Accent 6"/>
    <w:basedOn w:val="3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8">
    <w:name w:val="Grid Table 7 Colorful"/>
    <w:basedOn w:val="3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9">
    <w:name w:val="Grid Table 7 Colorful - Accent 1"/>
    <w:basedOn w:val="3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10">
    <w:name w:val="Grid Table 7 Colorful - Accent 2"/>
    <w:basedOn w:val="3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11">
    <w:name w:val="Grid Table 7 Colorful - Accent 3"/>
    <w:basedOn w:val="3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BBB59" w:themeColor="accent3"/>
        <w:sz w:val="22"/>
        <w14:textFill>
          <w14:solidFill>
            <w14:schemeClr w14:val="accent3"/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/>
        <w:sz w:val="22"/>
        <w14:textFill>
          <w14:solidFill>
            <w14:schemeClr w14:val="accent3"/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/>
        <w:sz w:val="22"/>
        <w14:textFill>
          <w14:solidFill>
            <w14:schemeClr w14:val="accent3"/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/>
        <w:sz w:val="22"/>
        <w14:textFill>
          <w14:solidFill>
            <w14:schemeClr w14:val="accent3"/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/>
        <w:sz w:val="22"/>
        <w14:textFill>
          <w14:solidFill>
            <w14:schemeClr w14:val="accent3"/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/>
        <w:sz w:val="22"/>
        <w14:textFill>
          <w14:solidFill>
            <w14:schemeClr w14:val="accent3"/>
          </w14:solidFill>
        </w14:textFill>
      </w:rPr>
    </w:tblStylePr>
  </w:style>
  <w:style w:type="table" w:customStyle="1" w:styleId="112">
    <w:name w:val="Grid Table 7 Colorful - Accent 4"/>
    <w:basedOn w:val="3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13">
    <w:name w:val="Grid Table 7 Colorful - Accent 5"/>
    <w:basedOn w:val="3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14">
    <w:name w:val="Grid Table 7 Colorful - Accent 6"/>
    <w:basedOn w:val="3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15">
    <w:name w:val="List Table 1 Light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116">
    <w:name w:val="List Table 1 Light - Accent 1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tcPr>
        <w:shd w:val="clear" w:color="D2DFEE" w:themeColor="accent1" w:themeTint="40" w:fill="D2DFEE" w:themeFill="accent1" w:themeFillTint="40"/>
      </w:tcPr>
    </w:tblStylePr>
  </w:style>
  <w:style w:type="table" w:customStyle="1" w:styleId="117">
    <w:name w:val="List Table 1 Light - Accent 2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tcPr>
        <w:shd w:val="clear" w:color="EFD3D2" w:themeColor="accent2" w:themeTint="40" w:fill="EFD3D2" w:themeFill="accent2" w:themeFillTint="40"/>
      </w:tcPr>
    </w:tblStylePr>
  </w:style>
  <w:style w:type="table" w:customStyle="1" w:styleId="118">
    <w:name w:val="List Table 1 Light - Accent 3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tcPr>
        <w:shd w:val="clear" w:color="E5EDD5" w:themeColor="accent3" w:themeTint="40" w:fill="E5EDD5" w:themeFill="accent3" w:themeFillTint="40"/>
      </w:tcPr>
    </w:tblStylePr>
  </w:style>
  <w:style w:type="table" w:customStyle="1" w:styleId="119">
    <w:name w:val="List Table 1 Light - Accent 4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tcPr>
        <w:shd w:val="clear" w:color="DFD8E7" w:themeColor="accent4" w:themeTint="40" w:fill="DFD8E7" w:themeFill="accent4" w:themeFillTint="40"/>
      </w:tcPr>
    </w:tblStylePr>
  </w:style>
  <w:style w:type="table" w:customStyle="1" w:styleId="120">
    <w:name w:val="List Table 1 Light - Accent 5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tcPr>
        <w:shd w:val="clear" w:color="D1EAF0" w:themeColor="accent5" w:themeTint="40" w:fill="D1EAF0" w:themeFill="accent5" w:themeFillTint="40"/>
      </w:tcPr>
    </w:tblStylePr>
  </w:style>
  <w:style w:type="table" w:customStyle="1" w:styleId="121">
    <w:name w:val="List Table 1 Light - Accent 6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tcPr>
        <w:shd w:val="clear" w:color="FCE4D0" w:themeColor="accent6" w:themeTint="40" w:fill="FCE4D0" w:themeFill="accent6" w:themeFillTint="40"/>
      </w:tcPr>
    </w:tblStylePr>
  </w:style>
  <w:style w:type="table" w:customStyle="1" w:styleId="122">
    <w:name w:val="List Table 2"/>
    <w:basedOn w:val="3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23">
    <w:name w:val="List Table 2 - Accent 1"/>
    <w:basedOn w:val="3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24">
    <w:name w:val="List Table 2 - Accent 2"/>
    <w:basedOn w:val="3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25">
    <w:name w:val="List Table 2 - Accent 3"/>
    <w:basedOn w:val="3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26">
    <w:name w:val="List Table 2 - Accent 4"/>
    <w:basedOn w:val="3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27">
    <w:name w:val="List Table 2 - Accent 5"/>
    <w:basedOn w:val="3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28">
    <w:name w:val="List Table 2 - Accent 6"/>
    <w:basedOn w:val="3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29">
    <w:name w:val="List Table 3"/>
    <w:basedOn w:val="3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30">
    <w:name w:val="List Table 3 - Accent 1"/>
    <w:basedOn w:val="3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31">
    <w:name w:val="List Table 3 - Accent 2"/>
    <w:basedOn w:val="3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32">
    <w:name w:val="List Table 3 - Accent 3"/>
    <w:basedOn w:val="3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33">
    <w:name w:val="List Table 3 - Accent 4"/>
    <w:basedOn w:val="3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34">
    <w:name w:val="List Table 3 - Accent 5"/>
    <w:basedOn w:val="3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35">
    <w:name w:val="List Table 3 - Accent 6"/>
    <w:basedOn w:val="3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36">
    <w:name w:val="List Table 4"/>
    <w:basedOn w:val="3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37">
    <w:name w:val="List Table 4 - Accent 1"/>
    <w:basedOn w:val="3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38">
    <w:name w:val="List Table 4 - Accent 2"/>
    <w:basedOn w:val="3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39">
    <w:name w:val="List Table 4 - Accent 3"/>
    <w:basedOn w:val="3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40">
    <w:name w:val="List Table 4 - Accent 4"/>
    <w:basedOn w:val="3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41">
    <w:name w:val="List Table 4 - Accent 5"/>
    <w:basedOn w:val="3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42">
    <w:name w:val="List Table 4 - Accent 6"/>
    <w:basedOn w:val="3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43">
    <w:name w:val="List Table 5 Dark"/>
    <w:basedOn w:val="3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144">
    <w:name w:val="List Table 5 Dark - Accent 1"/>
    <w:basedOn w:val="3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</w:style>
  <w:style w:type="table" w:customStyle="1" w:styleId="145">
    <w:name w:val="List Table 5 Dark - Accent 2"/>
    <w:basedOn w:val="3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</w:style>
  <w:style w:type="table" w:customStyle="1" w:styleId="146">
    <w:name w:val="List Table 5 Dark - Accent 3"/>
    <w:basedOn w:val="3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</w:style>
  <w:style w:type="table" w:customStyle="1" w:styleId="147">
    <w:name w:val="List Table 5 Dark - Accent 4"/>
    <w:basedOn w:val="3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</w:style>
  <w:style w:type="table" w:customStyle="1" w:styleId="148">
    <w:name w:val="List Table 5 Dark - Accent 5"/>
    <w:basedOn w:val="3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</w:style>
  <w:style w:type="table" w:customStyle="1" w:styleId="149">
    <w:name w:val="List Table 5 Dark - Accent 6"/>
    <w:basedOn w:val="3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</w:style>
  <w:style w:type="table" w:customStyle="1" w:styleId="150">
    <w:name w:val="List Table 6 Colorful"/>
    <w:basedOn w:val="3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51">
    <w:name w:val="List Table 6 Colorful - Accent 1"/>
    <w:basedOn w:val="3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2">
    <w:name w:val="List Table 6 Colorful - Accent 2"/>
    <w:basedOn w:val="3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3">
    <w:name w:val="List Table 6 Colorful - Accent 3"/>
    <w:basedOn w:val="3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4">
    <w:name w:val="List Table 6 Colorful - Accent 4"/>
    <w:basedOn w:val="3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6 Colorful - Accent 5"/>
    <w:basedOn w:val="3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6 Colorful - Accent 6"/>
    <w:basedOn w:val="3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st Table 7 Colorful"/>
    <w:basedOn w:val="3"/>
    <w:qFormat/>
    <w:uiPriority w:val="99"/>
    <w:tblPr>
      <w:tblBorders>
        <w:right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8">
    <w:name w:val="List Table 7 Colorful - Accent 1"/>
    <w:basedOn w:val="3"/>
    <w:qFormat/>
    <w:uiPriority w:val="99"/>
    <w:tblPr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9">
    <w:name w:val="List Table 7 Colorful - Accent 2"/>
    <w:basedOn w:val="3"/>
    <w:qFormat/>
    <w:uiPriority w:val="99"/>
    <w:tblPr>
      <w:tblBorders>
        <w:right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60">
    <w:name w:val="List Table 7 Colorful - Accent 3"/>
    <w:basedOn w:val="3"/>
    <w:qFormat/>
    <w:uiPriority w:val="99"/>
    <w:tblPr>
      <w:tblBorders>
        <w:right w:val="single" w:color="C3D69C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61">
    <w:name w:val="List Table 7 Colorful - Accent 4"/>
    <w:basedOn w:val="3"/>
    <w:qFormat/>
    <w:uiPriority w:val="99"/>
    <w:tblPr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62">
    <w:name w:val="List Table 7 Colorful - Accent 5"/>
    <w:basedOn w:val="3"/>
    <w:qFormat/>
    <w:uiPriority w:val="99"/>
    <w:tblPr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63">
    <w:name w:val="List Table 7 Colorful - Accent 6"/>
    <w:basedOn w:val="3"/>
    <w:qFormat/>
    <w:uiPriority w:val="99"/>
    <w:tblPr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64">
    <w:name w:val="Lined - Accent"/>
    <w:basedOn w:val="3"/>
    <w:qFormat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</w:style>
  <w:style w:type="table" w:customStyle="1" w:styleId="165">
    <w:name w:val="Lined - Accent 1"/>
    <w:basedOn w:val="3"/>
    <w:qFormat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66">
    <w:name w:val="Lined - Accent 2"/>
    <w:basedOn w:val="3"/>
    <w:qFormat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67">
    <w:name w:val="Lined - Accent 3"/>
    <w:basedOn w:val="3"/>
    <w:qFormat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68">
    <w:name w:val="Lined - Accent 4"/>
    <w:basedOn w:val="3"/>
    <w:qFormat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69">
    <w:name w:val="Lined - Accent 5"/>
    <w:basedOn w:val="3"/>
    <w:qFormat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70">
    <w:name w:val="Lined - Accent 6"/>
    <w:basedOn w:val="3"/>
    <w:qFormat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71">
    <w:name w:val="Bordered &amp; Lined - Accent"/>
    <w:basedOn w:val="3"/>
    <w:qFormat/>
    <w:uiPriority w:val="99"/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</w:style>
  <w:style w:type="table" w:customStyle="1" w:styleId="172">
    <w:name w:val="Bordered &amp; Lined - Accent 1"/>
    <w:basedOn w:val="3"/>
    <w:qFormat/>
    <w:uiPriority w:val="99"/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73">
    <w:name w:val="Bordered &amp; Lined - Accent 2"/>
    <w:basedOn w:val="3"/>
    <w:qFormat/>
    <w:uiPriority w:val="99"/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74">
    <w:name w:val="Bordered &amp; Lined - Accent 3"/>
    <w:basedOn w:val="3"/>
    <w:qFormat/>
    <w:uiPriority w:val="99"/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75">
    <w:name w:val="Bordered &amp; Lined - Accent 4"/>
    <w:basedOn w:val="3"/>
    <w:qFormat/>
    <w:uiPriority w:val="99"/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76">
    <w:name w:val="Bordered &amp; Lined - Accent 5"/>
    <w:basedOn w:val="3"/>
    <w:qFormat/>
    <w:uiPriority w:val="99"/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77">
    <w:name w:val="Bordered &amp; Lined - Accent 6"/>
    <w:basedOn w:val="3"/>
    <w:qFormat/>
    <w:uiPriority w:val="99"/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78">
    <w:name w:val="Bordered"/>
    <w:basedOn w:val="3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9">
    <w:name w:val="Bordered - Accent 1"/>
    <w:basedOn w:val="3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80">
    <w:name w:val="Bordered - Accent 2"/>
    <w:basedOn w:val="3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81">
    <w:name w:val="Bordered - Accent 3"/>
    <w:basedOn w:val="3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82">
    <w:name w:val="Bordered - Accent 4"/>
    <w:basedOn w:val="3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83">
    <w:name w:val="Bordered - Accent 5"/>
    <w:basedOn w:val="3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84">
    <w:name w:val="Bordered - Accent 6"/>
    <w:basedOn w:val="3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85">
    <w:name w:val="Текст сноски Знак"/>
    <w:link w:val="8"/>
    <w:qFormat/>
    <w:uiPriority w:val="99"/>
    <w:rPr>
      <w:sz w:val="18"/>
    </w:rPr>
  </w:style>
  <w:style w:type="character" w:customStyle="1" w:styleId="186">
    <w:name w:val="Текст концевой сноски Знак"/>
    <w:link w:val="7"/>
    <w:qFormat/>
    <w:uiPriority w:val="99"/>
    <w:rPr>
      <w:sz w:val="20"/>
    </w:rPr>
  </w:style>
  <w:style w:type="paragraph" w:customStyle="1" w:styleId="187">
    <w:name w:val="Заголовок оглавления1"/>
    <w:unhideWhenUsed/>
    <w:qFormat/>
    <w:uiPriority w:val="39"/>
    <w:rPr>
      <w:rFonts w:ascii="Times New Roman" w:hAnsi="Times New Roman" w:eastAsia="SimSun" w:cs="Times New Roman"/>
      <w:lang w:val="ru-RU" w:eastAsia="ru-RU" w:bidi="ar-SA"/>
    </w:rPr>
  </w:style>
  <w:style w:type="paragraph" w:styleId="188">
    <w:name w:val="List Paragraph"/>
    <w:basedOn w:val="1"/>
    <w:qFormat/>
    <w:uiPriority w:val="34"/>
    <w:pPr>
      <w:ind w:left="720"/>
      <w:contextualSpacing/>
    </w:pPr>
  </w:style>
  <w:style w:type="character" w:customStyle="1" w:styleId="189">
    <w:name w:val="Основной текст с отступом Знак"/>
    <w:basedOn w:val="2"/>
    <w:link w:val="19"/>
    <w:qFormat/>
    <w:uiPriority w:val="0"/>
    <w:rPr>
      <w:rFonts w:ascii="Times New Roman" w:hAnsi="Times New Roman" w:eastAsia="Times New Roman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ACDE03-8A44-4E99-BC28-AE729EA56ED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diakov.net</Company>
  <Pages>5</Pages>
  <Words>1536</Words>
  <Characters>8756</Characters>
  <Lines>72</Lines>
  <Paragraphs>20</Paragraphs>
  <TotalTime>1415</TotalTime>
  <ScaleCrop>false</ScaleCrop>
  <LinksUpToDate>false</LinksUpToDate>
  <CharactersWithSpaces>10272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2025-12-29T13:03:00Z</dcterms:created>
  <dc:creator>RePack by Diakov</dc:creator>
  <cp:lastModifiedBy>Guskova</cp:lastModifiedBy>
  <cp:lastPrinted>2026-04-01T12:43:02Z</cp:lastPrinted>
  <dcterms:modified xsi:type="dcterms:W3CDTF">2026-04-02T10:39:06Z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C36BE9E53763457D8E07E4D2E509E1CE_13</vt:lpwstr>
  </property>
</Properties>
</file>